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193"/>
      <w:bookmarkStart w:id="2" w:name="_Toc15377425"/>
      <w:bookmarkStart w:id="3" w:name="_Toc15396597"/>
      <w:bookmarkStart w:id="4" w:name="_Toc15378441"/>
      <w:bookmarkStart w:id="5" w:name="_Toc15396475"/>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8442"/>
      <w:bookmarkStart w:id="7" w:name="_Toc15377426"/>
      <w:bookmarkStart w:id="8" w:name="_Toc15396476"/>
      <w:bookmarkStart w:id="9" w:name="_Toc15396598"/>
      <w:bookmarkStart w:id="10" w:name="_Toc15377194"/>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lang w:val="en-US" w:eastAsia="zh-CN"/>
        </w:rPr>
        <w:t>乐山市金口河区司法局</w:t>
      </w: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52"/>
          <w:szCs w:val="52"/>
        </w:rPr>
      </w:pP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pPr>
      <w:r>
        <w:rPr>
          <w:rFonts w:hint="eastAsia"/>
        </w:rPr>
        <w:t>公开时间：2020年</w:t>
      </w:r>
      <w:r>
        <w:rPr>
          <w:rFonts w:hint="eastAsia"/>
          <w:lang w:val="en-US" w:eastAsia="zh-CN"/>
        </w:rPr>
        <w:t>8</w:t>
      </w:r>
      <w:r>
        <w:rPr>
          <w:rFonts w:hint="eastAsia"/>
        </w:rPr>
        <w:t>月</w:t>
      </w:r>
      <w:r>
        <w:rPr>
          <w:rFonts w:hint="eastAsia"/>
          <w:lang w:val="en-US" w:eastAsia="zh-CN"/>
        </w:rPr>
        <w:t>27</w:t>
      </w:r>
      <w:r>
        <w:rPr>
          <w:rFonts w:hint="eastAsia"/>
        </w:rPr>
        <w:t>日</w:t>
      </w:r>
    </w:p>
    <w:p/>
    <w:p>
      <w:pPr>
        <w:pStyle w:val="1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tab/>
      </w:r>
      <w:r>
        <w:rPr>
          <w:rFonts w:hint="eastAsia"/>
        </w:rPr>
        <w:t>4</w:t>
      </w:r>
    </w:p>
    <w:p>
      <w:pPr>
        <w:pStyle w:val="12"/>
        <w:adjustRightInd w:val="0"/>
        <w:snapToGrid w:val="0"/>
        <w:spacing w:line="440" w:lineRule="exact"/>
        <w:jc w:val="left"/>
      </w:pPr>
      <w:r>
        <w:rPr>
          <w:rFonts w:hint="eastAsia"/>
          <w:sz w:val="24"/>
        </w:rPr>
        <w:t>一、基本职能及主要工作</w:t>
      </w:r>
      <w:r>
        <w:tab/>
      </w:r>
      <w:r>
        <w:rPr>
          <w:rFonts w:hint="eastAsia"/>
        </w:rPr>
        <w:t>4</w:t>
      </w:r>
    </w:p>
    <w:p>
      <w:pPr>
        <w:pStyle w:val="12"/>
        <w:adjustRightInd w:val="0"/>
        <w:snapToGrid w:val="0"/>
        <w:spacing w:line="440" w:lineRule="exact"/>
        <w:jc w:val="left"/>
        <w:rPr>
          <w:rFonts w:hint="eastAsia" w:ascii="仿宋" w:hAnsi="仿宋" w:eastAsia="宋体" w:cstheme="minorBidi"/>
          <w:sz w:val="24"/>
          <w:lang w:eastAsia="zh-CN"/>
        </w:rPr>
      </w:pPr>
      <w:r>
        <w:rPr>
          <w:rFonts w:hint="eastAsia"/>
          <w:sz w:val="24"/>
        </w:rPr>
        <w:t>二、机构设置</w:t>
      </w:r>
      <w:r>
        <w:tab/>
      </w:r>
      <w:r>
        <w:rPr>
          <w:rFonts w:hint="eastAsia"/>
          <w:lang w:val="en-US" w:eastAsia="zh-CN"/>
        </w:rPr>
        <w:t>7</w:t>
      </w:r>
    </w:p>
    <w:p>
      <w:pPr>
        <w:pStyle w:val="11"/>
        <w:adjustRightInd w:val="0"/>
        <w:snapToGrid w:val="0"/>
        <w:spacing w:before="0" w:line="440" w:lineRule="exact"/>
        <w:jc w:val="left"/>
        <w:rPr>
          <w:rFonts w:hint="eastAsia" w:eastAsia="仿宋"/>
          <w:sz w:val="24"/>
          <w:szCs w:val="24"/>
          <w:lang w:eastAsia="zh-CN"/>
        </w:rPr>
      </w:pPr>
      <w:r>
        <w:rPr>
          <w:rFonts w:hint="eastAsia"/>
          <w:sz w:val="24"/>
        </w:rPr>
        <w:t>第二部分度部门决算情况说明</w:t>
      </w:r>
      <w:r>
        <w:tab/>
      </w:r>
      <w:r>
        <w:rPr>
          <w:rFonts w:hint="eastAsia"/>
          <w:lang w:val="en-US" w:eastAsia="zh-CN"/>
        </w:rPr>
        <w:t>8</w:t>
      </w:r>
    </w:p>
    <w:p>
      <w:pPr>
        <w:pStyle w:val="12"/>
        <w:adjustRightInd w:val="0"/>
        <w:snapToGrid w:val="0"/>
        <w:spacing w:line="440" w:lineRule="exact"/>
        <w:jc w:val="left"/>
        <w:rPr>
          <w:rFonts w:hint="eastAsia" w:ascii="仿宋" w:hAnsi="仿宋" w:eastAsia="宋体" w:cstheme="minorBidi"/>
          <w:sz w:val="24"/>
          <w:lang w:eastAsia="zh-CN"/>
        </w:rPr>
      </w:pPr>
      <w:r>
        <w:rPr>
          <w:rFonts w:hint="eastAsia"/>
          <w:sz w:val="24"/>
        </w:rPr>
        <w:t>一、收入支出决算总体情况说明</w:t>
      </w:r>
      <w:r>
        <w:tab/>
      </w:r>
      <w:r>
        <w:rPr>
          <w:rFonts w:hint="eastAsia"/>
          <w:lang w:val="en-US" w:eastAsia="zh-CN"/>
        </w:rPr>
        <w:t>8</w:t>
      </w:r>
    </w:p>
    <w:p>
      <w:pPr>
        <w:pStyle w:val="12"/>
        <w:adjustRightInd w:val="0"/>
        <w:snapToGrid w:val="0"/>
        <w:spacing w:line="440" w:lineRule="exact"/>
        <w:jc w:val="left"/>
        <w:rPr>
          <w:rFonts w:hint="eastAsia" w:ascii="仿宋" w:hAnsi="仿宋" w:eastAsia="宋体" w:cstheme="minorBidi"/>
          <w:sz w:val="24"/>
          <w:lang w:eastAsia="zh-CN"/>
        </w:rPr>
      </w:pPr>
      <w:r>
        <w:rPr>
          <w:rFonts w:hint="eastAsia"/>
          <w:sz w:val="24"/>
        </w:rPr>
        <w:t>二、收入决算情况说明</w:t>
      </w:r>
      <w:r>
        <w:tab/>
      </w:r>
      <w:r>
        <w:rPr>
          <w:rFonts w:hint="eastAsia"/>
          <w:lang w:val="en-US" w:eastAsia="zh-CN"/>
        </w:rPr>
        <w:t>8</w:t>
      </w:r>
    </w:p>
    <w:p>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三、支出决算情况说明</w:t>
      </w:r>
      <w:r>
        <w:tab/>
      </w:r>
      <w:r>
        <w:rPr>
          <w:rFonts w:hint="eastAsia"/>
          <w:lang w:val="en-US" w:eastAsia="zh-CN"/>
        </w:rPr>
        <w:t>9</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tab/>
      </w:r>
      <w:r>
        <w:rPr>
          <w:rFonts w:hint="eastAsia"/>
          <w:lang w:val="en-US" w:eastAsia="zh-CN"/>
        </w:rPr>
        <w:t>10</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tab/>
      </w:r>
      <w:r>
        <w:rPr>
          <w:rFonts w:hint="eastAsia"/>
          <w:lang w:val="en-US" w:eastAsia="zh-CN"/>
        </w:rPr>
        <w:t>10</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六、一般公共预算财政拨款基本支出决算情况说明</w:t>
      </w:r>
      <w:r>
        <w:tab/>
      </w:r>
      <w:r>
        <w:rPr>
          <w:rFonts w:hint="eastAsia"/>
          <w:lang w:val="en-US" w:eastAsia="zh-CN"/>
        </w:rPr>
        <w:t>14</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七、</w:t>
      </w:r>
      <w:r>
        <w:rPr>
          <w:sz w:val="24"/>
        </w:rPr>
        <w:t>“</w:t>
      </w:r>
      <w:r>
        <w:rPr>
          <w:rFonts w:hint="eastAsia"/>
          <w:sz w:val="24"/>
        </w:rPr>
        <w:t>三公”经费财政拨款支出决算情况说明</w:t>
      </w:r>
      <w:r>
        <w:tab/>
      </w:r>
      <w:r>
        <w:rPr>
          <w:rFonts w:hint="eastAsia"/>
          <w:lang w:val="en-US" w:eastAsia="zh-CN"/>
        </w:rPr>
        <w:t>14</w:t>
      </w:r>
    </w:p>
    <w:p>
      <w:pPr>
        <w:pStyle w:val="12"/>
        <w:adjustRightInd w:val="0"/>
        <w:snapToGrid w:val="0"/>
        <w:spacing w:line="440" w:lineRule="exact"/>
        <w:jc w:val="left"/>
        <w:rPr>
          <w:rFonts w:hint="default"/>
          <w:sz w:val="24"/>
          <w:lang w:val="en-US"/>
        </w:rPr>
      </w:pPr>
      <w:r>
        <w:rPr>
          <w:rFonts w:hint="eastAsia"/>
          <w:sz w:val="24"/>
        </w:rPr>
        <w:t>八、政府性基金预算支出决算情况说明</w:t>
      </w:r>
      <w:r>
        <w:rPr>
          <w:rFonts w:hint="eastAsia"/>
          <w:sz w:val="24"/>
        </w:rPr>
        <w:tab/>
      </w:r>
      <w:r>
        <w:rPr>
          <w:rFonts w:hint="eastAsia"/>
          <w:sz w:val="24"/>
          <w:lang w:val="en-US" w:eastAsia="zh-CN"/>
        </w:rPr>
        <w:t>16</w:t>
      </w:r>
    </w:p>
    <w:p>
      <w:pPr>
        <w:pStyle w:val="12"/>
        <w:adjustRightInd w:val="0"/>
        <w:snapToGrid w:val="0"/>
        <w:spacing w:line="440" w:lineRule="exact"/>
        <w:jc w:val="left"/>
        <w:rPr>
          <w:rFonts w:hint="default"/>
          <w:sz w:val="24"/>
          <w:lang w:val="en-US"/>
        </w:rPr>
      </w:pPr>
      <w:r>
        <w:rPr>
          <w:rFonts w:hint="eastAsia"/>
          <w:sz w:val="24"/>
        </w:rPr>
        <w:t>九、国有资本经营预算支出决算情况说明</w:t>
      </w:r>
      <w:r>
        <w:rPr>
          <w:rFonts w:hint="eastAsia"/>
          <w:sz w:val="24"/>
        </w:rPr>
        <w:tab/>
      </w:r>
      <w:r>
        <w:rPr>
          <w:rFonts w:hint="eastAsia"/>
          <w:sz w:val="24"/>
          <w:lang w:val="en-US" w:eastAsia="zh-CN"/>
        </w:rPr>
        <w:t>16</w:t>
      </w:r>
    </w:p>
    <w:p>
      <w:pPr>
        <w:pStyle w:val="12"/>
        <w:adjustRightInd w:val="0"/>
        <w:snapToGrid w:val="0"/>
        <w:spacing w:line="440" w:lineRule="exact"/>
        <w:jc w:val="left"/>
        <w:rPr>
          <w:rFonts w:hint="eastAsia"/>
          <w:sz w:val="24"/>
        </w:rPr>
      </w:pPr>
      <w:r>
        <w:rPr>
          <w:rFonts w:hint="eastAsia"/>
          <w:sz w:val="24"/>
        </w:rPr>
        <w:t>十、其他重要事项的情况说明</w:t>
      </w:r>
      <w:r>
        <w:rPr>
          <w:rFonts w:hint="eastAsia"/>
          <w:sz w:val="24"/>
        </w:rPr>
        <w:tab/>
      </w:r>
      <w:r>
        <w:rPr>
          <w:rFonts w:hint="eastAsia"/>
          <w:sz w:val="24"/>
          <w:lang w:val="en-US" w:eastAsia="zh-CN"/>
        </w:rPr>
        <w:t>16</w:t>
      </w:r>
    </w:p>
    <w:p>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tab/>
      </w:r>
      <w:r>
        <w:rPr>
          <w:rFonts w:hint="eastAsia"/>
          <w:lang w:val="en-US" w:eastAsia="zh-CN"/>
        </w:rPr>
        <w:t>28</w:t>
      </w:r>
    </w:p>
    <w:p>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tab/>
      </w:r>
      <w:r>
        <w:rPr>
          <w:rFonts w:hint="eastAsia"/>
          <w:lang w:val="en-US" w:eastAsia="zh-CN"/>
        </w:rPr>
        <w:t>31</w:t>
      </w:r>
    </w:p>
    <w:p>
      <w:pPr>
        <w:pStyle w:val="11"/>
        <w:adjustRightInd w:val="0"/>
        <w:snapToGrid w:val="0"/>
        <w:spacing w:before="0" w:line="440" w:lineRule="exact"/>
        <w:ind w:firstLine="1200" w:firstLineChars="500"/>
        <w:jc w:val="left"/>
        <w:rPr>
          <w:rFonts w:hint="eastAsia"/>
          <w:lang w:val="en-US" w:eastAsia="zh-CN"/>
        </w:rPr>
      </w:pPr>
      <w:r>
        <w:rPr>
          <w:rFonts w:hint="eastAsia"/>
          <w:sz w:val="24"/>
        </w:rPr>
        <w:t>附件</w:t>
      </w:r>
      <w:r>
        <w:rPr>
          <w:sz w:val="24"/>
        </w:rPr>
        <w:t>1</w:t>
      </w:r>
      <w:r>
        <w:tab/>
      </w:r>
      <w:r>
        <w:rPr>
          <w:rFonts w:hint="eastAsia"/>
          <w:lang w:val="en-US" w:eastAsia="zh-CN"/>
        </w:rPr>
        <w:t>31</w:t>
      </w:r>
    </w:p>
    <w:p>
      <w:pPr>
        <w:pStyle w:val="11"/>
        <w:adjustRightInd w:val="0"/>
        <w:snapToGrid w:val="0"/>
        <w:spacing w:before="0" w:line="440" w:lineRule="exact"/>
        <w:ind w:firstLine="1200" w:firstLineChars="500"/>
        <w:jc w:val="left"/>
        <w:rPr>
          <w:rFonts w:hint="eastAsia"/>
          <w:lang w:val="en-US" w:eastAsia="zh-CN"/>
        </w:rPr>
      </w:pPr>
      <w:r>
        <w:rPr>
          <w:rFonts w:hint="eastAsia"/>
          <w:sz w:val="24"/>
        </w:rPr>
        <w:t>附件</w:t>
      </w:r>
      <w:r>
        <w:rPr>
          <w:rFonts w:hint="eastAsia"/>
          <w:sz w:val="24"/>
          <w:lang w:val="en-US" w:eastAsia="zh-CN"/>
        </w:rPr>
        <w:t>2</w:t>
      </w:r>
      <w:r>
        <w:tab/>
      </w:r>
      <w:r>
        <w:rPr>
          <w:rFonts w:hint="eastAsia"/>
          <w:lang w:val="en-US" w:eastAsia="zh-CN"/>
        </w:rPr>
        <w:t>39</w:t>
      </w:r>
    </w:p>
    <w:p>
      <w:pPr>
        <w:pStyle w:val="11"/>
        <w:adjustRightInd w:val="0"/>
        <w:snapToGrid w:val="0"/>
        <w:spacing w:before="0" w:line="440" w:lineRule="exact"/>
        <w:jc w:val="left"/>
        <w:rPr>
          <w:rFonts w:hint="default" w:cstheme="minorBidi"/>
          <w:sz w:val="24"/>
          <w:szCs w:val="24"/>
          <w:lang w:val="en-US"/>
        </w:rPr>
      </w:pPr>
      <w:r>
        <w:rPr>
          <w:rFonts w:hint="eastAsia"/>
          <w:sz w:val="24"/>
        </w:rPr>
        <w:t>第五部分</w:t>
      </w:r>
      <w:r>
        <w:rPr>
          <w:sz w:val="24"/>
        </w:rPr>
        <w:t xml:space="preserve"> </w:t>
      </w:r>
      <w:r>
        <w:rPr>
          <w:rFonts w:hint="eastAsia"/>
          <w:sz w:val="24"/>
        </w:rPr>
        <w:t>附表</w:t>
      </w:r>
      <w:r>
        <w:tab/>
      </w:r>
      <w:r>
        <w:rPr>
          <w:rFonts w:hint="eastAsia"/>
          <w:lang w:val="en-US" w:eastAsia="zh-CN"/>
        </w:rPr>
        <w:t>49</w:t>
      </w:r>
    </w:p>
    <w:p>
      <w:pPr>
        <w:pStyle w:val="12"/>
        <w:adjustRightInd w:val="0"/>
        <w:snapToGrid w:val="0"/>
        <w:spacing w:line="440" w:lineRule="exact"/>
        <w:jc w:val="left"/>
        <w:rPr>
          <w:rFonts w:hint="default" w:ascii="仿宋" w:hAnsi="仿宋" w:eastAsia="仿宋" w:cstheme="minorBidi"/>
          <w:sz w:val="24"/>
          <w:lang w:val="en-US"/>
        </w:rPr>
      </w:pPr>
      <w:r>
        <w:rPr>
          <w:rFonts w:hint="eastAsia" w:ascii="仿宋" w:hAnsi="仿宋" w:eastAsia="仿宋"/>
          <w:sz w:val="24"/>
        </w:rPr>
        <w:t>一、</w:t>
      </w:r>
      <w:r>
        <w:rPr>
          <w:rFonts w:hint="eastAsia"/>
          <w:sz w:val="24"/>
        </w:rPr>
        <w:t>收入支出决算总表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二、</w:t>
      </w:r>
      <w:r>
        <w:rPr>
          <w:rFonts w:hint="eastAsia"/>
          <w:sz w:val="24"/>
        </w:rPr>
        <w:t>收入</w:t>
      </w:r>
      <w:r>
        <w:rPr>
          <w:rFonts w:hint="eastAsia" w:ascii="仿宋" w:hAnsi="仿宋" w:eastAsia="仿宋"/>
          <w:sz w:val="24"/>
        </w:rPr>
        <w:t>决算</w:t>
      </w:r>
      <w:r>
        <w:rPr>
          <w:rFonts w:hint="eastAsia"/>
          <w:sz w:val="24"/>
        </w:rPr>
        <w:t>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三、</w:t>
      </w:r>
      <w:r>
        <w:rPr>
          <w:rFonts w:hint="eastAsia"/>
          <w:sz w:val="24"/>
        </w:rPr>
        <w:t>支出</w:t>
      </w:r>
      <w:r>
        <w:rPr>
          <w:rFonts w:hint="eastAsia" w:ascii="仿宋" w:hAnsi="仿宋" w:eastAsia="仿宋"/>
          <w:sz w:val="24"/>
        </w:rPr>
        <w:t>决算</w:t>
      </w:r>
      <w:r>
        <w:rPr>
          <w:rFonts w:hint="eastAsia"/>
          <w:sz w:val="24"/>
        </w:rPr>
        <w:t>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四、</w:t>
      </w:r>
      <w:r>
        <w:rPr>
          <w:rFonts w:hint="eastAsia"/>
          <w:sz w:val="24"/>
        </w:rPr>
        <w:t>财政拨款收入支出决算总表</w:t>
      </w:r>
      <w:r>
        <w:tab/>
      </w:r>
      <w:r>
        <w:rPr>
          <w:rFonts w:hint="eastAsia"/>
          <w:lang w:val="en-US" w:eastAsia="zh-CN"/>
        </w:rPr>
        <w:t>49</w:t>
      </w:r>
    </w:p>
    <w:p>
      <w:pPr>
        <w:pStyle w:val="12"/>
        <w:adjustRightInd w:val="0"/>
        <w:snapToGrid w:val="0"/>
        <w:spacing w:line="440" w:lineRule="exact"/>
        <w:jc w:val="left"/>
        <w:rPr>
          <w:rFonts w:ascii="仿宋" w:hAnsi="仿宋" w:eastAsia="仿宋"/>
          <w:sz w:val="24"/>
        </w:rPr>
      </w:pPr>
      <w:r>
        <w:rPr>
          <w:rFonts w:hint="eastAsia" w:ascii="仿宋" w:hAnsi="仿宋" w:eastAsia="仿宋"/>
          <w:sz w:val="24"/>
        </w:rPr>
        <w:t>五、财政拨款支出决算明细表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六、</w:t>
      </w:r>
      <w:r>
        <w:rPr>
          <w:rFonts w:hint="eastAsia"/>
          <w:sz w:val="24"/>
        </w:rPr>
        <w:t>一般公共预算财政拨款支出决算表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七、</w:t>
      </w:r>
      <w:r>
        <w:rPr>
          <w:rFonts w:hint="eastAsia"/>
          <w:sz w:val="24"/>
        </w:rPr>
        <w:t>一般公共预算财政拨款支出决算明细表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八、</w:t>
      </w:r>
      <w:r>
        <w:rPr>
          <w:rFonts w:hint="eastAsia"/>
          <w:sz w:val="24"/>
        </w:rPr>
        <w:t>一般公共预算财政拨款基本支出决算表</w:t>
      </w:r>
      <w:r>
        <w:tab/>
      </w:r>
      <w:r>
        <w:rPr>
          <w:rFonts w:hint="eastAsia"/>
          <w:lang w:val="en-US" w:eastAsia="zh-CN"/>
        </w:rPr>
        <w:t>49</w:t>
      </w:r>
      <w:bookmarkStart w:id="73" w:name="_GoBack"/>
      <w:bookmarkEnd w:id="73"/>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九、</w:t>
      </w:r>
      <w:r>
        <w:rPr>
          <w:rFonts w:hint="eastAsia"/>
          <w:sz w:val="24"/>
        </w:rPr>
        <w:t>一般公共预算财政拨款项目支出决算表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十、</w:t>
      </w:r>
      <w:r>
        <w:rPr>
          <w:rFonts w:hint="eastAsia"/>
          <w:sz w:val="24"/>
        </w:rPr>
        <w:t>一般公共预算财政拨款“三公”经费支出决算表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十一、</w:t>
      </w:r>
      <w:r>
        <w:rPr>
          <w:rFonts w:hint="eastAsia"/>
          <w:sz w:val="24"/>
        </w:rPr>
        <w:t>政府性基金预算财政拨款收入支出决算表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十二、</w:t>
      </w:r>
      <w:r>
        <w:rPr>
          <w:rFonts w:hint="eastAsia"/>
          <w:sz w:val="24"/>
        </w:rPr>
        <w:t>政府性基金预算财政拨款“三公”经费支出决算表</w:t>
      </w:r>
      <w:r>
        <w:tab/>
      </w:r>
      <w:r>
        <w:rPr>
          <w:rFonts w:hint="eastAsia"/>
          <w:lang w:val="en-US" w:eastAsia="zh-CN"/>
        </w:rPr>
        <w:t>49</w:t>
      </w:r>
    </w:p>
    <w:p>
      <w:pPr>
        <w:pStyle w:val="12"/>
        <w:adjustRightInd w:val="0"/>
        <w:snapToGrid w:val="0"/>
        <w:spacing w:line="440" w:lineRule="exact"/>
        <w:jc w:val="left"/>
        <w:rPr>
          <w:rFonts w:ascii="仿宋" w:hAnsi="仿宋" w:eastAsia="仿宋" w:cstheme="minorBidi"/>
          <w:sz w:val="24"/>
        </w:rPr>
      </w:pPr>
      <w:r>
        <w:rPr>
          <w:rFonts w:hint="eastAsia" w:ascii="仿宋" w:hAnsi="仿宋" w:eastAsia="仿宋"/>
          <w:sz w:val="24"/>
        </w:rPr>
        <w:t>十三、</w:t>
      </w:r>
      <w:r>
        <w:rPr>
          <w:rFonts w:hint="eastAsia"/>
          <w:sz w:val="24"/>
        </w:rPr>
        <w:t>国有资本经营预算支出决算表</w:t>
      </w:r>
      <w:r>
        <w:tab/>
      </w:r>
      <w:r>
        <w:rPr>
          <w:rFonts w:hint="eastAsia"/>
          <w:lang w:val="en-US" w:eastAsia="zh-CN"/>
        </w:rPr>
        <w:t>49</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5"/>
          <w:rFonts w:ascii="黑体" w:hAnsi="黑体" w:eastAsia="黑体"/>
          <w:b/>
          <w:bCs w:val="0"/>
        </w:rPr>
      </w:pPr>
      <w:r>
        <w:rPr>
          <w:rFonts w:hint="eastAsia" w:ascii="黑体" w:hAnsi="黑体" w:eastAsia="黑体"/>
          <w:b w:val="0"/>
        </w:rPr>
        <w:t xml:space="preserve">第一部分 </w:t>
      </w:r>
      <w:r>
        <w:rPr>
          <w:rStyle w:val="25"/>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4"/>
        <w:rPr>
          <w:rStyle w:val="26"/>
          <w:rFonts w:ascii="仿宋" w:hAnsi="仿宋" w:eastAsia="仿宋"/>
          <w:b w:val="0"/>
          <w:bCs w:val="0"/>
        </w:rPr>
      </w:pPr>
      <w:bookmarkStart w:id="14" w:name="_Toc15377197"/>
      <w:bookmarkStart w:id="15" w:name="_Toc15396600"/>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4"/>
      <w:bookmarkEnd w:id="15"/>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16" w:name="_Toc15378445"/>
      <w:bookmarkStart w:id="17" w:name="_Toc15377198"/>
      <w:r>
        <w:rPr>
          <w:rFonts w:hint="eastAsia" w:ascii="仿宋" w:hAnsi="仿宋" w:eastAsia="仿宋"/>
          <w:bCs/>
          <w:color w:val="000000"/>
          <w:sz w:val="32"/>
          <w:szCs w:val="32"/>
        </w:rPr>
        <w:t>（一）主要职能。</w:t>
      </w:r>
      <w:bookmarkEnd w:id="16"/>
      <w:bookmarkEnd w:id="1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1、承担依法治区重大问题的政策研究，协调有关方面提出全面依法治区规划建议，负责有关重大决策部署督察工作。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2、负责区政府规范性文件、重大行政决策发布前的合法性审查。承办区政府规范性文件的报送备案工作。负责各乡（镇）政府和各部门规范性文件报送区政府的备案审查工作。组织开展区政府规范性文件清理。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承担统筹推进法治政府建设的责任。指导监督各乡（镇）政府和各部门依法行政工作。负责综合协调、监督检查行政执法，承担推进行政执法体制改革有关工作，推进严格规范公正文明执法。指导监督全区行政复议、行政应诉和行政赔偿工作，承办向区政府申请的行政复议、行政赔偿案件，代理区政府行政应诉案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承担统筹规划法治社会建设的责任。负责拟订法治宣传教育规划，组织实施普法宣传工作，组织对外法治宣传。推动人民参与和促进法治建设。指导依法治理和法治创建工作。指导调解工作。负责人民监督员、人民陪审员的选任管理工作。推进司法所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sz w:val="32"/>
          <w:szCs w:val="32"/>
          <w:lang w:val="en-US" w:eastAsia="zh-CN"/>
        </w:rPr>
        <w:t>5、负责全区社</w:t>
      </w:r>
      <w:r>
        <w:rPr>
          <w:rFonts w:hint="eastAsia" w:ascii="仿宋_GB2312" w:hAnsi="仿宋_GB2312" w:eastAsia="仿宋_GB2312" w:cs="仿宋_GB2312"/>
          <w:color w:val="auto"/>
          <w:sz w:val="32"/>
          <w:szCs w:val="32"/>
          <w:lang w:val="en-US" w:eastAsia="zh-CN"/>
        </w:rPr>
        <w:t>区矫正和帮教安置管理工作。指导管理社区矫正工作，指导刑满释放人员帮教安置工作。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6、负责拟订全区公共法律服务体系建设规划并指导实施，统筹和布局全区法律服务资源。指导监督律师、法律援助、公证、仲裁和基层法律服务管理工作。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7、规划、协调、指导法治人才队伍建设相关工作，指导监督本系统队伍建设。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8、负责全区外来企业投诉处理和民营企业法律服务工作。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9、负责职责范围内的安全生产和职业健康、生态环境保护；按照行政审批、综合执法等方面的相关要求，做好有关工作。</w:t>
      </w:r>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r>
        <w:rPr>
          <w:rFonts w:hint="eastAsia" w:ascii="仿宋_GB2312" w:hAnsi="仿宋_GB2312" w:eastAsia="仿宋_GB2312" w:cs="仿宋_GB2312"/>
          <w:sz w:val="32"/>
          <w:szCs w:val="32"/>
          <w:lang w:val="en-US" w:eastAsia="zh-CN"/>
        </w:rPr>
        <w:t>10、完成区委、区政府交办的其他任务。</w:t>
      </w:r>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18" w:name="_Toc15378446"/>
      <w:bookmarkStart w:id="19" w:name="_Toc15377199"/>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18"/>
      <w:bookmarkEnd w:id="1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今年以来，区司法局在区委区政府的坚强领导下，坚持把政治引领作为首要遵循，把服务大局作为中心任务，把履职担当作为职责使命，脚踏实地、埋头苦干，司法行政各项工作有序推进。</w:t>
      </w:r>
    </w:p>
    <w:p>
      <w:pPr>
        <w:ind w:firstLine="643"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一是坚持政治引领，党的建设进一步深化。</w:t>
      </w:r>
      <w:r>
        <w:rPr>
          <w:rFonts w:hint="eastAsia" w:ascii="仿宋_GB2312" w:hAnsi="仿宋_GB2312" w:eastAsia="仿宋_GB2312" w:cs="仿宋_GB2312"/>
          <w:sz w:val="32"/>
          <w:szCs w:val="32"/>
          <w:lang w:eastAsia="zh-CN"/>
        </w:rPr>
        <w:t>把开展好“不忘初心、牢记使命”主题教育作为重大政治任务</w:t>
      </w:r>
      <w:r>
        <w:rPr>
          <w:rFonts w:hint="eastAsia" w:ascii="仿宋_GB2312" w:hAnsi="仿宋_GB2312" w:eastAsia="仿宋_GB2312" w:cs="仿宋_GB2312"/>
          <w:kern w:val="2"/>
          <w:sz w:val="32"/>
          <w:szCs w:val="32"/>
          <w:lang w:val="en-US" w:eastAsia="zh-CN" w:bidi="ar-SA"/>
        </w:rPr>
        <w:t>，通过“单位集中夜学+干部日常自学”方式，引导全局干部聚精会神读原著、学原文、悟原理，不断增强学习的针对性实效性。着力抓好党建阵地建设，扎实开展组织生活会、民主评议党员活动，不断增强党组织的号召力、凝聚力、战斗力和创造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二是坚持依法行政，法治金口河建设稳步推进。</w:t>
      </w:r>
      <w:r>
        <w:rPr>
          <w:rFonts w:hint="eastAsia" w:ascii="仿宋_GB2312" w:hAnsi="仿宋_GB2312" w:eastAsia="仿宋_GB2312" w:cs="仿宋_GB2312"/>
          <w:kern w:val="2"/>
          <w:sz w:val="32"/>
          <w:szCs w:val="32"/>
          <w:lang w:val="en-US" w:eastAsia="zh-CN" w:bidi="ar-SA"/>
        </w:rPr>
        <w:t>加强文件规范性审核，</w:t>
      </w:r>
      <w:r>
        <w:rPr>
          <w:rFonts w:hint="eastAsia" w:ascii="仿宋_GB2312" w:hAnsi="仿宋_GB2312" w:eastAsia="仿宋_GB2312" w:cs="仿宋_GB2312"/>
          <w:sz w:val="32"/>
          <w:szCs w:val="32"/>
        </w:rPr>
        <w:t>今年共计</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规范性文件33件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严格行政执法人员资格管理，开展2019年行政执法人员通用法律知识考试，今年新办执法证16张，年审执法证22张。依法办理行政复议、行政应诉案件，重新组建我区法律顾问团，目前已进入招投标阶段。今年以来，区政府作为被告的行政应诉案件胜诉率为100%。</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三是坚持打造品牌，普法宣传教育取得新进展。</w:t>
      </w:r>
      <w:r>
        <w:rPr>
          <w:rFonts w:hint="eastAsia" w:ascii="仿宋_GB2312" w:hAnsi="仿宋_GB2312" w:eastAsia="仿宋_GB2312" w:cs="仿宋_GB2312"/>
          <w:kern w:val="2"/>
          <w:sz w:val="32"/>
          <w:szCs w:val="32"/>
          <w:lang w:val="en-US" w:eastAsia="zh-CN" w:bidi="ar-SA"/>
        </w:rPr>
        <w:t>“彝汉双语法治夜校”“心连心･鸽鸽讲堂”成果丰硕，受教育群众累计达3万余人次，讲堂创始人的莫鸽鸽获中宣部表彰并当选为2019年全国十大法治人物。继续深化“七进”活动，充分利用“3.15消费者维权日”“12.4国家宪法日”等时间节点，开展法治宣传活动30余场次，发放普法书籍2万余册，普法用品1万余份。创办新媒体“金口河普法”微信公众号，向民众传递法律知识，今年累计推送文章24篇，被省市微信公众号采用5篇，阅读量过万。</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四是坚持人民满意，公共法律服务水平逐步提升。</w:t>
      </w:r>
      <w:r>
        <w:rPr>
          <w:rFonts w:hint="eastAsia" w:ascii="仿宋_GB2312" w:hAnsi="仿宋_GB2312" w:eastAsia="仿宋_GB2312" w:cs="仿宋_GB2312"/>
          <w:sz w:val="32"/>
          <w:szCs w:val="32"/>
          <w:lang w:eastAsia="zh-CN"/>
        </w:rPr>
        <w:t>完成永胜、和平司法所规范化建设，目前6个司法所均获得省级规范化司法所称号。</w:t>
      </w:r>
      <w:r>
        <w:rPr>
          <w:rFonts w:hint="eastAsia" w:ascii="仿宋_GB2312" w:hAnsi="仿宋_GB2312" w:eastAsia="仿宋_GB2312" w:cs="仿宋_GB2312"/>
          <w:sz w:val="32"/>
          <w:szCs w:val="32"/>
          <w:lang w:val="en-US" w:eastAsia="zh-CN"/>
        </w:rPr>
        <w:t>全面</w:t>
      </w:r>
      <w:r>
        <w:rPr>
          <w:rFonts w:hint="eastAsia" w:ascii="仿宋_GB2312" w:hAnsi="仿宋_GB2312" w:eastAsia="仿宋_GB2312" w:cs="仿宋_GB2312"/>
          <w:sz w:val="32"/>
          <w:szCs w:val="32"/>
          <w:lang w:eastAsia="zh-CN"/>
        </w:rPr>
        <w:t>完成人民陪审员选任工作。开展法律咨询、辩护、代理等公益性法律服务，今年</w:t>
      </w:r>
      <w:r>
        <w:rPr>
          <w:rFonts w:hint="eastAsia" w:ascii="仿宋_GB2312" w:hAnsi="仿宋_GB2312" w:eastAsia="仿宋_GB2312" w:cs="仿宋_GB2312"/>
          <w:sz w:val="32"/>
          <w:szCs w:val="32"/>
          <w:lang w:val="en-US" w:eastAsia="zh-CN"/>
        </w:rPr>
        <w:t>办结法律援助案件52件，受援人次700人次。组织参加全市“人民调解大讲堂”培训4期，提升人民调解能力水平，今年调解成功127件案件，调解成功率98%。</w:t>
      </w:r>
    </w:p>
    <w:p>
      <w:pPr>
        <w:pStyle w:val="6"/>
        <w:adjustRightInd w:val="0"/>
        <w:snapToGrid w:val="0"/>
        <w:spacing w:before="93" w:line="600" w:lineRule="exact"/>
        <w:ind w:firstLine="675" w:firstLineChars="210"/>
        <w:outlineLvl w:val="2"/>
        <w:rPr>
          <w:rFonts w:hint="eastAsia" w:ascii="仿宋" w:hAnsi="仿宋" w:eastAsia="仿宋"/>
          <w:bCs/>
          <w:color w:val="000000"/>
          <w:sz w:val="32"/>
          <w:szCs w:val="32"/>
        </w:rPr>
      </w:pPr>
      <w:r>
        <w:rPr>
          <w:rFonts w:hint="eastAsia" w:ascii="仿宋_GB2312" w:hAnsi="仿宋_GB2312" w:eastAsia="仿宋_GB2312" w:cs="仿宋_GB2312"/>
          <w:b/>
          <w:bCs/>
          <w:sz w:val="32"/>
          <w:szCs w:val="32"/>
          <w:lang w:val="en-US" w:eastAsia="zh-CN"/>
        </w:rPr>
        <w:t>五是坚持严控风险，特殊人群管控有序开展。</w:t>
      </w:r>
      <w:r>
        <w:rPr>
          <w:rFonts w:hint="eastAsia" w:ascii="仿宋_GB2312" w:hAnsi="仿宋_GB2312" w:eastAsia="仿宋_GB2312" w:cs="仿宋_GB2312"/>
          <w:kern w:val="2"/>
          <w:sz w:val="32"/>
          <w:szCs w:val="32"/>
          <w:lang w:val="en-US" w:eastAsia="zh-CN" w:bidi="ar-SA"/>
        </w:rPr>
        <w:t>坚持以安全为底线，以改造为核心，不断提高监管教育水平，</w:t>
      </w:r>
      <w:r>
        <w:rPr>
          <w:rFonts w:hint="eastAsia" w:ascii="仿宋_GB2312" w:hAnsi="仿宋_GB2312" w:eastAsia="仿宋_GB2312" w:cs="仿宋_GB2312"/>
          <w:sz w:val="32"/>
          <w:szCs w:val="32"/>
          <w:lang w:val="en-US" w:eastAsia="zh-CN"/>
        </w:rPr>
        <w:t>严格要求司法助理员利用定位平台每日对矫正对象进行信息监控，同时每月对重点对象进行走访、了解，对困难对象进行帮助，</w:t>
      </w:r>
      <w:r>
        <w:rPr>
          <w:rFonts w:hint="eastAsia" w:ascii="仿宋_GB2312" w:hAnsi="仿宋_GB2312" w:eastAsia="仿宋_GB2312" w:cs="仿宋_GB2312"/>
          <w:kern w:val="2"/>
          <w:sz w:val="32"/>
          <w:szCs w:val="32"/>
          <w:lang w:val="en-US" w:eastAsia="zh-CN" w:bidi="ar-SA"/>
        </w:rPr>
        <w:t>努力实现社区矫正从“管控好”向“矫正好”转变。截至2019年11月，累计接收社区矫正人员144人，解矫129人，现在册15人，其中：缓刑13人，假释1人，暂予监外执行1人。</w:t>
      </w:r>
    </w:p>
    <w:p>
      <w:pPr>
        <w:pStyle w:val="4"/>
        <w:rPr>
          <w:rStyle w:val="26"/>
          <w:b w:val="0"/>
          <w:bCs w:val="0"/>
        </w:rPr>
      </w:pPr>
      <w:bookmarkStart w:id="20" w:name="_Toc15396601"/>
      <w:bookmarkStart w:id="21" w:name="_Toc15377200"/>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20"/>
      <w:bookmarkEnd w:id="21"/>
    </w:p>
    <w:p>
      <w:pPr>
        <w:widowControl/>
        <w:ind w:firstLine="640" w:firstLineChars="200"/>
        <w:jc w:val="left"/>
        <w:rPr>
          <w:rFonts w:ascii="仿宋" w:hAnsi="仿宋" w:eastAsia="仿宋"/>
          <w:color w:val="000000"/>
          <w:kern w:val="0"/>
          <w:sz w:val="32"/>
          <w:szCs w:val="32"/>
        </w:rPr>
      </w:pPr>
      <w:r>
        <w:rPr>
          <w:rFonts w:hint="eastAsia" w:ascii="仿宋_GB2312" w:hAnsi="仿宋_GB2312" w:eastAsia="仿宋_GB2312" w:cs="仿宋_GB2312"/>
          <w:color w:val="000000"/>
          <w:kern w:val="2"/>
          <w:sz w:val="32"/>
          <w:szCs w:val="32"/>
          <w:lang w:val="en-US" w:eastAsia="zh-CN" w:bidi="ar-SA"/>
        </w:rPr>
        <w:t>金口河区司法局为行政单位，无下属二级预算单位。</w:t>
      </w:r>
      <w:r>
        <w:rPr>
          <w:rFonts w:ascii="仿宋" w:hAnsi="仿宋" w:eastAsia="仿宋"/>
          <w:color w:val="000000"/>
          <w:sz w:val="32"/>
          <w:szCs w:val="32"/>
        </w:rPr>
        <w:br w:type="page"/>
      </w:r>
    </w:p>
    <w:p>
      <w:pPr>
        <w:pStyle w:val="3"/>
        <w:ind w:right="440"/>
        <w:jc w:val="right"/>
        <w:rPr>
          <w:rStyle w:val="25"/>
          <w:rFonts w:ascii="黑体" w:hAnsi="黑体" w:eastAsia="黑体"/>
          <w:b w:val="0"/>
          <w:bCs w:val="0"/>
        </w:rPr>
      </w:pPr>
      <w:bookmarkStart w:id="22" w:name="_Toc15377204"/>
      <w:bookmarkStart w:id="23" w:name="_Toc15396602"/>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2019年度部门决算情况说明</w:t>
      </w:r>
      <w:bookmarkEnd w:id="22"/>
      <w:bookmarkEnd w:id="23"/>
    </w:p>
    <w:p/>
    <w:p>
      <w:pPr>
        <w:pStyle w:val="24"/>
        <w:numPr>
          <w:ilvl w:val="0"/>
          <w:numId w:val="2"/>
        </w:numPr>
        <w:spacing w:line="600" w:lineRule="exact"/>
        <w:ind w:firstLineChars="0"/>
        <w:outlineLvl w:val="1"/>
        <w:rPr>
          <w:rStyle w:val="26"/>
          <w:rFonts w:ascii="黑体" w:hAnsi="黑体" w:eastAsia="黑体"/>
          <w:b w:val="0"/>
        </w:rPr>
      </w:pPr>
      <w:bookmarkStart w:id="24" w:name="_Toc15377205"/>
      <w:bookmarkStart w:id="25" w:name="_Toc15396603"/>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24"/>
      <w:bookmarkEnd w:id="25"/>
    </w:p>
    <w:p>
      <w:pPr>
        <w:spacing w:line="600" w:lineRule="exact"/>
        <w:ind w:firstLine="640" w:firstLineChars="200"/>
        <w:rPr>
          <w:rFonts w:hint="eastAsia" w:ascii="仿宋" w:hAnsi="仿宋" w:eastAsia="仿宋"/>
          <w:color w:val="000000"/>
          <w:sz w:val="32"/>
          <w:szCs w:val="32"/>
          <w:lang w:val="en-US" w:eastAsia="zh-CN"/>
        </w:rPr>
      </w:pPr>
      <w:r>
        <w:rPr>
          <w:rFonts w:hint="eastAsia" w:ascii="仿宋" w:hAnsi="仿宋" w:eastAsia="仿宋"/>
          <w:color w:val="000000"/>
          <w:sz w:val="32"/>
          <w:szCs w:val="32"/>
        </w:rPr>
        <w:t>2019年度收、支总计</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万元。与2018年相比，收、支总计各减少</w:t>
      </w:r>
      <w:r>
        <w:rPr>
          <w:rFonts w:hint="eastAsia" w:ascii="仿宋" w:hAnsi="仿宋" w:eastAsia="仿宋"/>
          <w:color w:val="000000"/>
          <w:sz w:val="32"/>
          <w:szCs w:val="32"/>
          <w:lang w:val="en-US" w:eastAsia="zh-CN"/>
        </w:rPr>
        <w:t>14.75</w:t>
      </w:r>
      <w:r>
        <w:rPr>
          <w:rFonts w:hint="eastAsia" w:ascii="仿宋" w:hAnsi="仿宋" w:eastAsia="仿宋"/>
          <w:color w:val="000000"/>
          <w:sz w:val="32"/>
          <w:szCs w:val="32"/>
        </w:rPr>
        <w:t>万元，下降</w:t>
      </w:r>
      <w:r>
        <w:rPr>
          <w:rFonts w:hint="eastAsia" w:ascii="仿宋" w:hAnsi="仿宋" w:eastAsia="仿宋"/>
          <w:color w:val="000000"/>
          <w:sz w:val="32"/>
          <w:szCs w:val="32"/>
          <w:lang w:val="en-US" w:eastAsia="zh-CN"/>
        </w:rPr>
        <w:t>2.8</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社区矫正中心建设已完成，装备采购开支减少。</w:t>
      </w:r>
    </w:p>
    <w:p>
      <w:pPr>
        <w:pStyle w:val="2"/>
        <w:ind w:left="0" w:leftChars="0" w:firstLine="0" w:firstLineChars="0"/>
        <w:jc w:val="center"/>
        <w:rPr>
          <w:rFonts w:hint="default"/>
          <w:lang w:val="en-US" w:eastAsia="zh-CN"/>
        </w:rPr>
      </w:pPr>
      <w:r>
        <w:rPr>
          <w:rFonts w:hint="default"/>
          <w:lang w:val="en-US"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pStyle w:val="2"/>
      </w:pPr>
    </w:p>
    <w:p>
      <w:pPr>
        <w:pStyle w:val="24"/>
        <w:numPr>
          <w:ilvl w:val="0"/>
          <w:numId w:val="2"/>
        </w:numPr>
        <w:spacing w:line="600" w:lineRule="exact"/>
        <w:ind w:firstLineChars="0"/>
        <w:outlineLvl w:val="1"/>
        <w:rPr>
          <w:rStyle w:val="26"/>
          <w:rFonts w:ascii="黑体" w:hAnsi="黑体" w:eastAsia="黑体"/>
          <w:b w:val="0"/>
        </w:rPr>
      </w:pPr>
      <w:bookmarkStart w:id="26" w:name="_Toc15396604"/>
      <w:bookmarkStart w:id="27" w:name="_Toc15377206"/>
      <w:r>
        <w:rPr>
          <w:rFonts w:hint="eastAsia" w:ascii="黑体" w:hAnsi="黑体" w:eastAsia="黑体"/>
          <w:color w:val="000000"/>
          <w:sz w:val="32"/>
          <w:szCs w:val="32"/>
        </w:rPr>
        <w:t>收</w:t>
      </w:r>
      <w:r>
        <w:rPr>
          <w:rStyle w:val="26"/>
          <w:rFonts w:hint="eastAsia" w:ascii="黑体" w:hAnsi="黑体" w:eastAsia="黑体"/>
          <w:b w:val="0"/>
        </w:rPr>
        <w:t>入决算情况说明</w:t>
      </w:r>
      <w:bookmarkEnd w:id="26"/>
      <w:bookmarkEnd w:id="27"/>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9年本年收入合计</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480" w:firstLineChars="200"/>
        <w:rPr>
          <w:rFonts w:ascii="仿宋" w:hAnsi="仿宋" w:eastAsia="仿宋"/>
          <w:color w:val="000000" w:themeColor="text1"/>
          <w:sz w:val="32"/>
          <w:szCs w:val="32"/>
          <w14:textFill>
            <w14:solidFill>
              <w14:schemeClr w14:val="tx1"/>
            </w14:solidFill>
          </w14:textFill>
        </w:rPr>
      </w:pPr>
      <w:r>
        <w:rPr>
          <w:rFonts w:ascii="宋体" w:hAnsi="宋体" w:eastAsia="宋体" w:cs="宋体"/>
          <w:kern w:val="0"/>
          <w:sz w:val="24"/>
          <w:szCs w:val="24"/>
          <w:lang w:val="en-US" w:eastAsia="zh-CN" w:bidi="ar"/>
        </w:rPr>
        <w:drawing>
          <wp:anchor distT="0" distB="0" distL="114300" distR="114300" simplePos="0" relativeHeight="251661312" behindDoc="0" locked="0" layoutInCell="1" allowOverlap="1">
            <wp:simplePos x="0" y="0"/>
            <wp:positionH relativeFrom="column">
              <wp:posOffset>917575</wp:posOffset>
            </wp:positionH>
            <wp:positionV relativeFrom="paragraph">
              <wp:posOffset>193675</wp:posOffset>
            </wp:positionV>
            <wp:extent cx="3181985" cy="2638425"/>
            <wp:effectExtent l="0" t="0" r="18415" b="9525"/>
            <wp:wrapTopAndBottom/>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7"/>
                    <a:stretch>
                      <a:fillRect/>
                    </a:stretch>
                  </pic:blipFill>
                  <pic:spPr>
                    <a:xfrm>
                      <a:off x="0" y="0"/>
                      <a:ext cx="3181985" cy="2638425"/>
                    </a:xfrm>
                    <a:prstGeom prst="rect">
                      <a:avLst/>
                    </a:prstGeom>
                    <a:noFill/>
                    <a:ln>
                      <a:noFill/>
                    </a:ln>
                  </pic:spPr>
                </pic:pic>
              </a:graphicData>
            </a:graphic>
          </wp:anchor>
        </w:drawing>
      </w: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ascii="仿宋_GB2312" w:eastAsia="仿宋_GB2312"/>
          <w:color w:val="FF0000"/>
          <w:sz w:val="32"/>
          <w:szCs w:val="32"/>
        </w:rPr>
      </w:pPr>
    </w:p>
    <w:p>
      <w:pPr>
        <w:pStyle w:val="24"/>
        <w:numPr>
          <w:ilvl w:val="0"/>
          <w:numId w:val="2"/>
        </w:numPr>
        <w:spacing w:line="600" w:lineRule="exact"/>
        <w:ind w:firstLineChars="0"/>
        <w:outlineLvl w:val="1"/>
        <w:rPr>
          <w:rStyle w:val="26"/>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26"/>
          <w:rFonts w:hint="eastAsia" w:ascii="黑体" w:hAnsi="黑体" w:eastAsia="黑体"/>
          <w:b w:val="0"/>
        </w:rPr>
        <w:t>出决算情况说明</w:t>
      </w:r>
      <w:bookmarkEnd w:id="28"/>
      <w:bookmarkEnd w:id="29"/>
    </w:p>
    <w:p>
      <w:pPr>
        <w:spacing w:line="600" w:lineRule="exact"/>
        <w:ind w:firstLine="640" w:firstLineChars="200"/>
        <w:outlineLvl w:val="1"/>
        <w:rPr>
          <w:rFonts w:hint="eastAsia" w:ascii="仿宋" w:hAnsi="仿宋" w:eastAsia="仿宋"/>
          <w:color w:val="000000" w:themeColor="text1"/>
          <w:sz w:val="32"/>
          <w:szCs w:val="32"/>
          <w:lang w:eastAsia="zh-CN"/>
          <w14:textFill>
            <w14:solidFill>
              <w14:schemeClr w14:val="tx1"/>
            </w14:solidFill>
          </w14:textFill>
        </w:rPr>
      </w:pPr>
      <w:r>
        <w:rPr>
          <w:rFonts w:ascii="仿宋" w:hAnsi="仿宋" w:eastAsia="仿宋"/>
          <w:color w:val="000000"/>
          <w:sz w:val="32"/>
          <w:szCs w:val="32"/>
        </w:rPr>
        <w:t>201</w:t>
      </w:r>
      <w:r>
        <w:rPr>
          <w:rFonts w:hint="eastAsia" w:ascii="仿宋" w:hAnsi="仿宋" w:eastAsia="仿宋"/>
          <w:color w:val="000000"/>
          <w:sz w:val="32"/>
          <w:szCs w:val="32"/>
        </w:rPr>
        <w:t>9年本年支出合计</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366.38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73</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137.6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27</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hint="eastAsia" w:ascii="仿宋" w:hAnsi="仿宋" w:eastAsia="仿宋"/>
          <w:color w:val="000000" w:themeColor="text1"/>
          <w:sz w:val="32"/>
          <w:szCs w:val="32"/>
          <w14:textFill>
            <w14:solidFill>
              <w14:schemeClr w14:val="tx1"/>
            </w14:solidFill>
          </w14:textFill>
        </w:rPr>
      </w:pP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575945</wp:posOffset>
            </wp:positionH>
            <wp:positionV relativeFrom="paragraph">
              <wp:posOffset>51435</wp:posOffset>
            </wp:positionV>
            <wp:extent cx="4151630" cy="2762885"/>
            <wp:effectExtent l="4445" t="4445" r="15875" b="13970"/>
            <wp:wrapTopAndBottom/>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outlineLvl w:val="1"/>
        <w:rPr>
          <w:rStyle w:val="26"/>
          <w:rFonts w:ascii="黑体" w:hAnsi="黑体" w:eastAsia="黑体"/>
          <w:b w:val="0"/>
        </w:rPr>
      </w:pPr>
      <w:bookmarkStart w:id="30" w:name="_Toc15377208"/>
      <w:bookmarkStart w:id="31" w:name="_Toc15396606"/>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30"/>
      <w:bookmarkEnd w:id="31"/>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9年财政拨款收、支总计</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万元。与</w:t>
      </w:r>
      <w:r>
        <w:rPr>
          <w:rFonts w:ascii="仿宋" w:hAnsi="仿宋" w:eastAsia="仿宋"/>
          <w:color w:val="000000"/>
          <w:sz w:val="32"/>
          <w:szCs w:val="32"/>
        </w:rPr>
        <w:t>201</w:t>
      </w:r>
      <w:r>
        <w:rPr>
          <w:rFonts w:hint="eastAsia" w:ascii="仿宋" w:hAnsi="仿宋" w:eastAsia="仿宋"/>
          <w:color w:val="000000"/>
          <w:sz w:val="32"/>
          <w:szCs w:val="32"/>
        </w:rPr>
        <w:t>8年相比，财政拨款收、支总计各减少</w:t>
      </w:r>
      <w:r>
        <w:rPr>
          <w:rFonts w:hint="eastAsia" w:ascii="仿宋" w:hAnsi="仿宋" w:eastAsia="仿宋"/>
          <w:color w:val="000000"/>
          <w:sz w:val="32"/>
          <w:szCs w:val="32"/>
          <w:lang w:val="en-US" w:eastAsia="zh-CN"/>
        </w:rPr>
        <w:t>14.75</w:t>
      </w:r>
      <w:r>
        <w:rPr>
          <w:rFonts w:hint="eastAsia" w:ascii="仿宋" w:hAnsi="仿宋" w:eastAsia="仿宋"/>
          <w:color w:val="000000"/>
          <w:sz w:val="32"/>
          <w:szCs w:val="32"/>
        </w:rPr>
        <w:t>万元，下降</w:t>
      </w:r>
      <w:r>
        <w:rPr>
          <w:rFonts w:hint="eastAsia" w:ascii="仿宋" w:hAnsi="仿宋" w:eastAsia="仿宋"/>
          <w:color w:val="000000"/>
          <w:sz w:val="32"/>
          <w:szCs w:val="32"/>
          <w:lang w:val="en-US" w:eastAsia="zh-CN"/>
        </w:rPr>
        <w:t>2.8</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val="en-US" w:eastAsia="zh-CN"/>
        </w:rPr>
        <w:t>社区矫正中心建设已完成，装备采购开支减少。</w:t>
      </w:r>
    </w:p>
    <w:p>
      <w:pPr>
        <w:spacing w:line="600" w:lineRule="exact"/>
        <w:rPr>
          <w:rFonts w:ascii="仿宋" w:hAnsi="仿宋" w:eastAsia="仿宋"/>
          <w:color w:val="000000"/>
          <w:sz w:val="32"/>
          <w:szCs w:val="32"/>
        </w:rPr>
      </w:pPr>
      <w:r>
        <w:rPr>
          <w:rFonts w:hint="default"/>
          <w:lang w:val="en-US" w:eastAsia="zh-CN"/>
        </w:rPr>
        <w:drawing>
          <wp:anchor distT="0" distB="0" distL="114300" distR="114300" simplePos="0" relativeHeight="251663360" behindDoc="0" locked="0" layoutInCell="1" allowOverlap="1">
            <wp:simplePos x="0" y="0"/>
            <wp:positionH relativeFrom="column">
              <wp:posOffset>99695</wp:posOffset>
            </wp:positionH>
            <wp:positionV relativeFrom="paragraph">
              <wp:posOffset>137795</wp:posOffset>
            </wp:positionV>
            <wp:extent cx="5080000" cy="3810000"/>
            <wp:effectExtent l="4445" t="4445" r="20955" b="14605"/>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Style w:val="26"/>
          <w:rFonts w:ascii="黑体" w:hAnsi="黑体" w:eastAsia="黑体"/>
          <w:b w:val="0"/>
        </w:rPr>
      </w:pPr>
      <w:bookmarkStart w:id="32" w:name="_Toc15377209"/>
      <w:bookmarkStart w:id="33"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8年相比，一般公共预算财政拨款减少</w:t>
      </w:r>
      <w:r>
        <w:rPr>
          <w:rFonts w:hint="eastAsia" w:ascii="仿宋" w:hAnsi="仿宋" w:eastAsia="仿宋"/>
          <w:color w:val="000000"/>
          <w:sz w:val="32"/>
          <w:szCs w:val="32"/>
          <w:lang w:val="en-US" w:eastAsia="zh-CN"/>
        </w:rPr>
        <w:t>14.75</w:t>
      </w:r>
      <w:r>
        <w:rPr>
          <w:rFonts w:hint="eastAsia" w:ascii="仿宋" w:hAnsi="仿宋" w:eastAsia="仿宋"/>
          <w:color w:val="000000"/>
          <w:sz w:val="32"/>
          <w:szCs w:val="32"/>
        </w:rPr>
        <w:t>万元，下降</w:t>
      </w:r>
      <w:r>
        <w:rPr>
          <w:rFonts w:hint="eastAsia" w:ascii="仿宋" w:hAnsi="仿宋" w:eastAsia="仿宋"/>
          <w:color w:val="000000"/>
          <w:sz w:val="32"/>
          <w:szCs w:val="32"/>
          <w:lang w:val="en-US" w:eastAsia="zh-CN"/>
        </w:rPr>
        <w:t>2.8</w:t>
      </w:r>
      <w:r>
        <w:rPr>
          <w:rFonts w:ascii="仿宋" w:hAnsi="仿宋" w:eastAsia="仿宋"/>
          <w:color w:val="000000"/>
          <w:sz w:val="32"/>
          <w:szCs w:val="32"/>
        </w:rPr>
        <w:t>%</w:t>
      </w:r>
      <w:r>
        <w:rPr>
          <w:rFonts w:hint="eastAsia" w:ascii="仿宋" w:hAnsi="仿宋" w:eastAsia="仿宋"/>
          <w:color w:val="000000"/>
          <w:sz w:val="32"/>
          <w:szCs w:val="32"/>
        </w:rPr>
        <w:t>。主要变动原因是主要变动原因是</w:t>
      </w:r>
      <w:r>
        <w:rPr>
          <w:rFonts w:hint="eastAsia" w:ascii="仿宋" w:hAnsi="仿宋" w:eastAsia="仿宋"/>
          <w:color w:val="000000"/>
          <w:sz w:val="32"/>
          <w:szCs w:val="32"/>
          <w:lang w:val="en-US" w:eastAsia="zh-CN"/>
        </w:rPr>
        <w:t>社区矫正中心建设已完成，装备采购开支减少。</w:t>
      </w:r>
    </w:p>
    <w:p>
      <w:p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drawing>
          <wp:anchor distT="0" distB="0" distL="114300" distR="114300" simplePos="0" relativeHeight="251664384" behindDoc="0" locked="0" layoutInCell="1" allowOverlap="1">
            <wp:simplePos x="0" y="0"/>
            <wp:positionH relativeFrom="column">
              <wp:posOffset>126365</wp:posOffset>
            </wp:positionH>
            <wp:positionV relativeFrom="paragraph">
              <wp:posOffset>196850</wp:posOffset>
            </wp:positionV>
            <wp:extent cx="5080000" cy="3810000"/>
            <wp:effectExtent l="4445" t="4445" r="20955" b="14605"/>
            <wp:wrapTopAndBottom/>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（图5：一般公共预算财政拨款支出决算变动情况）（柱状图）</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p>
    <w:p>
      <w:pPr>
        <w:spacing w:line="600" w:lineRule="exact"/>
        <w:ind w:firstLine="643"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201</w:t>
      </w:r>
      <w:r>
        <w:rPr>
          <w:rFonts w:hint="eastAsia" w:ascii="仿宋" w:hAnsi="仿宋" w:eastAsia="仿宋"/>
          <w:color w:val="000000"/>
          <w:sz w:val="32"/>
          <w:szCs w:val="32"/>
        </w:rPr>
        <w:t>9年一般公共预算财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themeColor="text1"/>
          <w:sz w:val="32"/>
          <w:szCs w:val="32"/>
          <w:lang w:val="en-US" w:eastAsia="zh-CN"/>
          <w14:textFill>
            <w14:solidFill>
              <w14:schemeClr w14:val="tx1"/>
            </w14:solidFill>
          </w14:textFill>
        </w:rPr>
        <w:t>503.98</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w:t>
      </w:r>
      <w:r>
        <w:rPr>
          <w:rFonts w:hint="eastAsia" w:ascii="仿宋" w:hAnsi="仿宋" w:eastAsia="仿宋"/>
          <w:b/>
          <w:bCs w:val="0"/>
          <w:color w:val="000000" w:themeColor="text1"/>
          <w:sz w:val="32"/>
          <w:szCs w:val="32"/>
          <w14:textFill>
            <w14:solidFill>
              <w14:schemeClr w14:val="tx1"/>
            </w14:solidFill>
          </w14:textFill>
        </w:rPr>
        <w:t>务支出</w:t>
      </w: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_GB2312" w:hAnsi="仿宋_GB2312" w:eastAsia="仿宋_GB2312" w:cs="仿宋_GB2312"/>
          <w:b/>
          <w:color w:val="000000"/>
          <w:sz w:val="32"/>
          <w:szCs w:val="32"/>
          <w:lang w:eastAsia="zh-CN"/>
        </w:rPr>
        <w:t>公共安全支出</w:t>
      </w:r>
      <w:r>
        <w:rPr>
          <w:rFonts w:hint="eastAsia" w:ascii="仿宋_GB2312" w:hAnsi="仿宋_GB2312" w:eastAsia="仿宋_GB2312" w:cs="仿宋_GB2312"/>
          <w:b/>
          <w:color w:val="000000"/>
          <w:sz w:val="32"/>
          <w:szCs w:val="32"/>
        </w:rPr>
        <w:t>支出</w:t>
      </w:r>
      <w:r>
        <w:rPr>
          <w:rFonts w:hint="eastAsia" w:ascii="仿宋_GB2312" w:hAnsi="仿宋_GB2312" w:eastAsia="仿宋_GB2312" w:cs="仿宋_GB2312"/>
          <w:b w:val="0"/>
          <w:bCs/>
          <w:color w:val="000000"/>
          <w:sz w:val="32"/>
          <w:szCs w:val="32"/>
          <w:lang w:val="en-US" w:eastAsia="zh-CN"/>
        </w:rPr>
        <w:t>338.35</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67.13</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rPr>
        <w:t>社会保障和就业</w:t>
      </w:r>
      <w:r>
        <w:rPr>
          <w:rFonts w:hint="eastAsia" w:ascii="仿宋_GB2312" w:hAnsi="仿宋_GB2312" w:eastAsia="仿宋_GB2312" w:cs="仿宋_GB2312"/>
          <w:b/>
          <w:color w:val="000000"/>
          <w:sz w:val="32"/>
          <w:szCs w:val="32"/>
          <w:lang w:val="en-US" w:eastAsia="zh-CN"/>
        </w:rPr>
        <w:t>支出</w:t>
      </w:r>
      <w:r>
        <w:rPr>
          <w:rFonts w:hint="eastAsia" w:ascii="仿宋_GB2312" w:hAnsi="仿宋_GB2312" w:eastAsia="仿宋_GB2312" w:cs="仿宋_GB2312"/>
          <w:color w:val="000000"/>
          <w:sz w:val="32"/>
          <w:szCs w:val="32"/>
          <w:lang w:val="en-US" w:eastAsia="zh-CN"/>
        </w:rPr>
        <w:t>46.03</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9.1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lang w:val="en-US" w:eastAsia="zh-CN"/>
        </w:rPr>
        <w:t>卫生健康</w:t>
      </w:r>
      <w:r>
        <w:rPr>
          <w:rFonts w:hint="eastAsia" w:ascii="仿宋_GB2312" w:hAnsi="仿宋_GB2312" w:eastAsia="仿宋_GB2312" w:cs="仿宋_GB2312"/>
          <w:b/>
          <w:color w:val="000000"/>
          <w:sz w:val="32"/>
          <w:szCs w:val="32"/>
          <w:lang w:eastAsia="zh-CN"/>
        </w:rPr>
        <w:t>支出</w:t>
      </w:r>
      <w:r>
        <w:rPr>
          <w:rFonts w:hint="eastAsia" w:ascii="仿宋_GB2312" w:hAnsi="仿宋_GB2312" w:eastAsia="仿宋_GB2312" w:cs="仿宋_GB2312"/>
          <w:color w:val="000000"/>
          <w:sz w:val="32"/>
          <w:szCs w:val="32"/>
          <w:lang w:val="en-US" w:eastAsia="zh-CN"/>
        </w:rPr>
        <w:t>8.43</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lang w:eastAsia="zh-CN"/>
        </w:rPr>
        <w:t>农林水支出</w:t>
      </w:r>
      <w:r>
        <w:rPr>
          <w:rFonts w:hint="eastAsia" w:ascii="仿宋_GB2312" w:hAnsi="仿宋_GB2312" w:eastAsia="仿宋_GB2312" w:cs="仿宋_GB2312"/>
          <w:b w:val="0"/>
          <w:bCs/>
          <w:color w:val="000000"/>
          <w:sz w:val="32"/>
          <w:szCs w:val="32"/>
          <w:lang w:val="en-US" w:eastAsia="zh-CN"/>
        </w:rPr>
        <w:t>2.25万元，占0.4%；</w:t>
      </w:r>
      <w:r>
        <w:rPr>
          <w:rFonts w:hint="eastAsia" w:ascii="仿宋_GB2312" w:hAnsi="仿宋_GB2312" w:eastAsia="仿宋_GB2312" w:cs="仿宋_GB2312"/>
          <w:b/>
          <w:color w:val="000000"/>
          <w:sz w:val="32"/>
          <w:szCs w:val="32"/>
          <w:lang w:eastAsia="zh-CN"/>
        </w:rPr>
        <w:t>住房保障支出</w:t>
      </w:r>
      <w:r>
        <w:rPr>
          <w:rFonts w:hint="eastAsia" w:ascii="仿宋_GB2312" w:hAnsi="仿宋_GB2312" w:eastAsia="仿宋_GB2312" w:cs="仿宋_GB2312"/>
          <w:color w:val="000000"/>
          <w:sz w:val="32"/>
          <w:szCs w:val="32"/>
          <w:lang w:val="en-US" w:eastAsia="zh-CN"/>
        </w:rPr>
        <w:t>29.94</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bCs w:val="0"/>
          <w:color w:val="000000"/>
          <w:sz w:val="32"/>
          <w:szCs w:val="32"/>
          <w:lang w:val="en-US" w:eastAsia="zh-CN"/>
        </w:rPr>
        <w:t>年末财政拨款结转和结余</w:t>
      </w:r>
      <w:r>
        <w:rPr>
          <w:rFonts w:hint="eastAsia" w:ascii="仿宋_GB2312" w:hAnsi="仿宋_GB2312" w:eastAsia="仿宋_GB2312" w:cs="仿宋_GB2312"/>
          <w:b w:val="0"/>
          <w:bCs/>
          <w:color w:val="000000"/>
          <w:sz w:val="32"/>
          <w:szCs w:val="32"/>
          <w:lang w:val="en-US" w:eastAsia="zh-CN"/>
        </w:rPr>
        <w:t>77.98万元，占15.47%</w:t>
      </w:r>
      <w:r>
        <w:rPr>
          <w:rFonts w:hint="eastAsia" w:ascii="仿宋_GB2312" w:hAnsi="仿宋_GB2312" w:eastAsia="仿宋_GB2312" w:cs="仿宋_GB2312"/>
          <w:b w:val="0"/>
          <w:bCs/>
          <w:color w:val="000000"/>
          <w:sz w:val="32"/>
          <w:szCs w:val="32"/>
          <w:lang w:eastAsia="zh-CN"/>
        </w:rPr>
        <w:t>。</w:t>
      </w:r>
    </w:p>
    <w:p>
      <w:pPr>
        <w:spacing w:line="600" w:lineRule="exact"/>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olor w:val="000000" w:themeColor="text1"/>
          <w:sz w:val="32"/>
          <w:szCs w:val="32"/>
          <w:lang w:eastAsia="zh-CN"/>
          <w14:textFill>
            <w14:solidFill>
              <w14:schemeClr w14:val="tx1"/>
            </w14:solidFill>
          </w14:textFill>
        </w:rPr>
        <w:drawing>
          <wp:anchor distT="0" distB="0" distL="114300" distR="114300" simplePos="0" relativeHeight="251665408" behindDoc="0" locked="0" layoutInCell="1" allowOverlap="1">
            <wp:simplePos x="0" y="0"/>
            <wp:positionH relativeFrom="column">
              <wp:posOffset>108585</wp:posOffset>
            </wp:positionH>
            <wp:positionV relativeFrom="paragraph">
              <wp:posOffset>185420</wp:posOffset>
            </wp:positionV>
            <wp:extent cx="5080000" cy="3810000"/>
            <wp:effectExtent l="4445" t="4445" r="20955" b="1460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3"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3" w:firstLineChars="200"/>
        <w:outlineLvl w:val="2"/>
        <w:rPr>
          <w:rStyle w:val="15"/>
          <w:rFonts w:hint="eastAsia" w:ascii="仿宋" w:hAnsi="仿宋" w:eastAsia="仿宋"/>
          <w:bCs/>
          <w:color w:val="000000"/>
          <w:sz w:val="32"/>
          <w:szCs w:val="32"/>
        </w:rPr>
      </w:pPr>
      <w:bookmarkStart w:id="37" w:name="_Toc15378460"/>
      <w:bookmarkStart w:id="38" w:name="_Toc15377444"/>
      <w:bookmarkStart w:id="39" w:name="_Toc15377213"/>
      <w:r>
        <w:rPr>
          <w:rFonts w:hint="eastAsia" w:ascii="仿宋" w:hAnsi="仿宋" w:eastAsia="仿宋"/>
          <w:b/>
          <w:color w:val="000000" w:themeColor="text1"/>
          <w:sz w:val="32"/>
          <w:szCs w:val="32"/>
          <w14:textFill>
            <w14:solidFill>
              <w14:schemeClr w14:val="tx1"/>
            </w14:solidFill>
          </w14:textFill>
        </w:rPr>
        <w:t>2019年般公共预算支出决算数为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503.98</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w:t>
      </w:r>
      <w:r>
        <w:rPr>
          <w:rStyle w:val="15"/>
          <w:rFonts w:hint="eastAsia" w:ascii="仿宋" w:hAnsi="仿宋" w:eastAsia="仿宋"/>
          <w:bCs/>
          <w:color w:val="000000"/>
          <w:sz w:val="32"/>
          <w:szCs w:val="32"/>
          <w:lang w:val="en-US" w:eastAsia="zh-CN"/>
        </w:rPr>
        <w:t>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37"/>
      <w:bookmarkEnd w:id="38"/>
      <w:bookmarkEnd w:id="39"/>
    </w:p>
    <w:p>
      <w:pPr>
        <w:numPr>
          <w:ilvl w:val="0"/>
          <w:numId w:val="0"/>
        </w:numPr>
        <w:spacing w:line="600" w:lineRule="exact"/>
        <w:ind w:firstLine="643" w:firstLineChars="200"/>
        <w:outlineLvl w:val="2"/>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一般公共服务支出</w:t>
      </w:r>
      <w:r>
        <w:rPr>
          <w:rFonts w:hint="eastAsia" w:ascii="仿宋" w:hAnsi="仿宋" w:eastAsia="仿宋"/>
          <w:b/>
          <w:color w:val="000000" w:themeColor="text1"/>
          <w:sz w:val="32"/>
          <w:szCs w:val="32"/>
          <w:lang w:eastAsia="zh-CN"/>
          <w14:textFill>
            <w14:solidFill>
              <w14:schemeClr w14:val="tx1"/>
            </w14:solidFill>
          </w14:textFill>
        </w:rPr>
        <w:t>（</w:t>
      </w:r>
      <w:r>
        <w:rPr>
          <w:rFonts w:hint="eastAsia" w:ascii="仿宋" w:hAnsi="仿宋" w:eastAsia="仿宋"/>
          <w:b/>
          <w:color w:val="000000" w:themeColor="text1"/>
          <w:sz w:val="32"/>
          <w:szCs w:val="32"/>
          <w:lang w:val="en-US" w:eastAsia="zh-CN"/>
          <w14:textFill>
            <w14:solidFill>
              <w14:schemeClr w14:val="tx1"/>
            </w14:solidFill>
          </w14:textFill>
        </w:rPr>
        <w:t>类</w:t>
      </w:r>
      <w:r>
        <w:rPr>
          <w:rFonts w:hint="eastAsia" w:ascii="仿宋" w:hAnsi="仿宋" w:eastAsia="仿宋"/>
          <w:b/>
          <w:color w:val="000000" w:themeColor="text1"/>
          <w:sz w:val="32"/>
          <w:szCs w:val="32"/>
          <w:lang w:eastAsia="zh-CN"/>
          <w14:textFill>
            <w14:solidFill>
              <w14:schemeClr w14:val="tx1"/>
            </w14:solidFill>
          </w14:textFill>
        </w:rPr>
        <w:t>）</w:t>
      </w:r>
      <w:r>
        <w:rPr>
          <w:rFonts w:hint="eastAsia" w:ascii="仿宋" w:hAnsi="仿宋" w:eastAsia="仿宋"/>
          <w:b/>
          <w:color w:val="000000" w:themeColor="text1"/>
          <w:sz w:val="32"/>
          <w:szCs w:val="32"/>
          <w:lang w:val="en-US" w:eastAsia="zh-CN"/>
          <w14:textFill>
            <w14:solidFill>
              <w14:schemeClr w14:val="tx1"/>
            </w14:solidFill>
          </w14:textFill>
        </w:rPr>
        <w:t>司法（款）民族工作专项（项）</w:t>
      </w:r>
      <w:r>
        <w:rPr>
          <w:rFonts w:hint="eastAsia" w:ascii="仿宋" w:hAnsi="仿宋" w:eastAsia="仿宋"/>
          <w:b/>
          <w:bCs w:val="0"/>
          <w:color w:val="000000" w:themeColor="text1"/>
          <w:sz w:val="32"/>
          <w:szCs w:val="32"/>
          <w:lang w:eastAsia="zh-CN"/>
          <w14:textFill>
            <w14:solidFill>
              <w14:schemeClr w14:val="tx1"/>
            </w14:solidFill>
          </w14:textFill>
        </w:rPr>
        <w:t>：</w:t>
      </w:r>
      <w:r>
        <w:rPr>
          <w:rFonts w:hint="eastAsia" w:ascii="仿宋" w:hAnsi="仿宋" w:eastAsia="仿宋"/>
          <w:b w:val="0"/>
          <w:bCs/>
          <w:color w:val="000000" w:themeColor="text1"/>
          <w:sz w:val="32"/>
          <w:szCs w:val="32"/>
          <w:lang w:val="en-US" w:eastAsia="zh-CN"/>
          <w14:textFill>
            <w14:solidFill>
              <w14:schemeClr w14:val="tx1"/>
            </w14:solidFill>
          </w14:textFill>
        </w:rPr>
        <w:t>支出决算数为1</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2.公共安全支出（类）司法（款）行政运行（项）: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支出决算数为281.98</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3.公共安全支出（类）司法（款）一般行政管理事务（项）: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支出决算数为34.53</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4.公共安全支出（类）司法（款）基层司法业务（项）: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支出决算数为8.31</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5.公共安全支出（类）司法（款）普法宣传（项）: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支出决算数为1.7</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6.公共安全支出（类）司法（款）法律援助（项）: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支出决算数为4.98</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0"/>
        <w:rPr>
          <w:rFonts w:hint="eastAsia"/>
          <w:lang w:eastAsia="zh-CN"/>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7.公共安全支出（类）司法（款）社区矫正（项）: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支出决算数为6.86</w:t>
      </w:r>
      <w:r>
        <w:rPr>
          <w:rFonts w:hint="eastAsia" w:ascii="仿宋" w:hAnsi="仿宋" w:eastAsia="仿宋"/>
          <w:b w:val="0"/>
          <w:bCs/>
          <w:color w:val="000000" w:themeColor="text1"/>
          <w:sz w:val="32"/>
          <w:szCs w:val="32"/>
          <w14:textFill>
            <w14:solidFill>
              <w14:schemeClr w14:val="tx1"/>
            </w14:solidFill>
          </w14:textFill>
        </w:rPr>
        <w:t>万</w:t>
      </w:r>
      <w:r>
        <w:rPr>
          <w:rFonts w:hint="eastAsia" w:ascii="仿宋" w:hAnsi="仿宋" w:eastAsia="仿宋"/>
          <w:color w:val="000000" w:themeColor="text1"/>
          <w:sz w:val="32"/>
          <w:szCs w:val="32"/>
          <w14:textFill>
            <w14:solidFill>
              <w14:schemeClr w14:val="tx1"/>
            </w14:solidFill>
          </w14:textFill>
        </w:rPr>
        <w:t>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8.社会保障和就业支出（类）行政事业单位离退休（款）机关事业单位基本养老保险缴费支出（项）: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cs="仿宋_GB2312"/>
          <w:color w:val="000000"/>
          <w:sz w:val="32"/>
          <w:szCs w:val="32"/>
          <w:lang w:val="en-US" w:eastAsia="zh-CN"/>
        </w:rPr>
        <w:t>24.35</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9.社会保障和就业支出（类）行政事业单位离退休（款）机关事业单位职业年金缴费支出（项）: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cs="仿宋_GB2312"/>
          <w:color w:val="000000"/>
          <w:sz w:val="32"/>
          <w:szCs w:val="32"/>
          <w:lang w:val="en-US" w:eastAsia="zh-CN"/>
        </w:rPr>
        <w:t>11.23</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10.社会保障和就业支出（类）行政事业单位离退休（款）其他行政事业单位离退休支出（项）: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cs="仿宋_GB2312"/>
          <w:color w:val="000000"/>
          <w:sz w:val="32"/>
          <w:szCs w:val="32"/>
          <w:lang w:val="en-US" w:eastAsia="zh-CN"/>
        </w:rPr>
        <w:t>1.6</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lang w:eastAsia="zh-CN"/>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11.社会保障和就业支出（类）其他社会保障和就业支出（款）其他社会保障和就业支出（项）: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cs="仿宋_GB2312"/>
          <w:color w:val="000000"/>
          <w:sz w:val="32"/>
          <w:szCs w:val="32"/>
          <w:lang w:val="en-US" w:eastAsia="zh-CN"/>
        </w:rPr>
        <w:t>8.85</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12.卫生健康支出（类）行政事业单位医疗（款）行政单位医疗（项）: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eastAsia="仿宋_GB2312" w:cs="仿宋_GB2312"/>
          <w:color w:val="000000"/>
          <w:sz w:val="32"/>
          <w:szCs w:val="32"/>
          <w:lang w:val="en-US" w:eastAsia="zh-CN"/>
        </w:rPr>
        <w:t>8.43</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hint="eastAsia" w:ascii="仿宋" w:hAnsi="仿宋" w:eastAsia="仿宋"/>
          <w:color w:val="000000" w:themeColor="text1"/>
          <w:sz w:val="32"/>
          <w:szCs w:val="32"/>
          <w:lang w:eastAsia="zh-CN"/>
          <w14:textFill>
            <w14:solidFill>
              <w14:schemeClr w14:val="tx1"/>
            </w14:solidFill>
          </w14:textFill>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13.农林水支出（类）扶贫（款）其他扶贫支出（项）: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eastAsia="仿宋_GB2312" w:cs="仿宋_GB2312"/>
          <w:b w:val="0"/>
          <w:bCs/>
          <w:color w:val="000000"/>
          <w:sz w:val="32"/>
          <w:szCs w:val="32"/>
          <w:lang w:val="en-US" w:eastAsia="zh-CN"/>
        </w:rPr>
        <w:t>2.25万元，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pStyle w:val="2"/>
        <w:numPr>
          <w:ilvl w:val="0"/>
          <w:numId w:val="0"/>
        </w:numPr>
        <w:ind w:leftChars="0" w:firstLine="643" w:firstLineChars="200"/>
        <w:rPr>
          <w:rFonts w:ascii="仿宋" w:hAnsi="仿宋" w:eastAsia="仿宋"/>
          <w:b/>
          <w:color w:val="000000"/>
          <w:sz w:val="32"/>
          <w:szCs w:val="32"/>
        </w:rPr>
      </w:pPr>
      <w:r>
        <w:rPr>
          <w:rFonts w:hint="eastAsia" w:ascii="仿宋" w:hAnsi="仿宋" w:eastAsia="仿宋" w:cs="Times New Roman"/>
          <w:b/>
          <w:color w:val="000000" w:themeColor="text1"/>
          <w:kern w:val="2"/>
          <w:sz w:val="32"/>
          <w:szCs w:val="32"/>
          <w:lang w:val="en-US" w:eastAsia="zh-CN" w:bidi="ar-SA"/>
          <w14:textFill>
            <w14:solidFill>
              <w14:schemeClr w14:val="tx1"/>
            </w14:solidFill>
          </w14:textFill>
        </w:rPr>
        <w:t>14.住房保障支出（类）住房改革支出（款）住房公积金（项）:</w:t>
      </w:r>
      <w:r>
        <w:rPr>
          <w:rFonts w:hint="eastAsia" w:ascii="仿宋" w:hAnsi="仿宋" w:eastAsia="仿宋"/>
          <w:b w:val="0"/>
          <w:bCs/>
          <w:color w:val="000000" w:themeColor="text1"/>
          <w:sz w:val="32"/>
          <w:szCs w:val="32"/>
          <w:lang w:val="en-US" w:eastAsia="zh-CN"/>
          <w14:textFill>
            <w14:solidFill>
              <w14:schemeClr w14:val="tx1"/>
            </w14:solidFill>
          </w14:textFill>
        </w:rPr>
        <w:t>支出决算数为</w:t>
      </w:r>
      <w:r>
        <w:rPr>
          <w:rFonts w:hint="eastAsia" w:ascii="仿宋_GB2312" w:hAnsi="仿宋_GB2312" w:eastAsia="仿宋_GB2312" w:cs="仿宋_GB2312"/>
          <w:color w:val="000000"/>
          <w:sz w:val="32"/>
          <w:szCs w:val="32"/>
          <w:lang w:val="en-US" w:eastAsia="zh-CN"/>
        </w:rPr>
        <w:t>29.94</w:t>
      </w:r>
      <w:r>
        <w:rPr>
          <w:rFonts w:hint="eastAsia" w:ascii="仿宋_GB2312" w:hAnsi="仿宋_GB2312" w:eastAsia="仿宋_GB2312" w:cs="仿宋_GB2312"/>
          <w:color w:val="000000"/>
          <w:sz w:val="32"/>
          <w:szCs w:val="32"/>
        </w:rPr>
        <w:t>万元，</w:t>
      </w:r>
      <w:r>
        <w:rPr>
          <w:rFonts w:hint="eastAsia" w:ascii="仿宋" w:hAnsi="仿宋" w:eastAsia="仿宋"/>
          <w:color w:val="000000" w:themeColor="text1"/>
          <w:sz w:val="32"/>
          <w:szCs w:val="32"/>
          <w:lang w:val="en-US" w:eastAsia="zh-CN"/>
          <w14:textFill>
            <w14:solidFill>
              <w14:schemeClr w14:val="tx1"/>
            </w14:solidFill>
          </w14:textFill>
        </w:rPr>
        <w:t>完成预算100</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lang w:eastAsia="zh-CN"/>
          <w14:textFill>
            <w14:solidFill>
              <w14:schemeClr w14:val="tx1"/>
            </w14:solidFill>
          </w14:textFill>
        </w:rPr>
        <w:t>。</w:t>
      </w:r>
    </w:p>
    <w:p>
      <w:pPr>
        <w:tabs>
          <w:tab w:val="right" w:pos="8306"/>
        </w:tabs>
        <w:spacing w:line="600" w:lineRule="exact"/>
        <w:ind w:firstLine="640"/>
        <w:outlineLvl w:val="1"/>
        <w:rPr>
          <w:rStyle w:val="26"/>
        </w:rPr>
      </w:pPr>
      <w:bookmarkStart w:id="40" w:name="_Toc15396608"/>
      <w:bookmarkStart w:id="4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40"/>
      <w:bookmarkEnd w:id="41"/>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w:t>
      </w:r>
      <w:r>
        <w:rPr>
          <w:rFonts w:hint="eastAsia" w:ascii="仿宋" w:hAnsi="仿宋" w:eastAsia="仿宋"/>
          <w:color w:val="000000"/>
          <w:sz w:val="32"/>
          <w:szCs w:val="32"/>
          <w:lang w:val="en-US" w:eastAsia="zh-CN"/>
        </w:rPr>
        <w:t>366.38</w:t>
      </w:r>
      <w:r>
        <w:rPr>
          <w:rFonts w:hint="eastAsia" w:ascii="仿宋" w:hAnsi="仿宋" w:eastAsia="仿宋"/>
          <w:color w:val="000000"/>
          <w:sz w:val="32"/>
          <w:szCs w:val="32"/>
        </w:rPr>
        <w:t>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323.4</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42.98</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6"/>
          <w:rFonts w:ascii="黑体" w:hAnsi="黑体" w:eastAsia="黑体"/>
          <w:b w:val="0"/>
        </w:rPr>
      </w:pPr>
      <w:bookmarkStart w:id="42" w:name="_Toc15377215"/>
      <w:bookmarkStart w:id="43" w:name="_Toc15396609"/>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w:t>
      </w:r>
      <w:r>
        <w:rPr>
          <w:rFonts w:hint="eastAsia" w:ascii="仿宋" w:hAnsi="仿宋" w:eastAsia="仿宋"/>
          <w:color w:val="000000"/>
          <w:sz w:val="32"/>
          <w:szCs w:val="32"/>
          <w:lang w:val="en-US" w:eastAsia="zh-CN"/>
        </w:rPr>
        <w:t>4.95</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hint="eastAsia"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w:t>
      </w:r>
      <w:r>
        <w:rPr>
          <w:rFonts w:hint="eastAsia" w:ascii="仿宋" w:hAnsi="仿宋" w:eastAsia="仿宋"/>
          <w:color w:val="000000"/>
          <w:sz w:val="32"/>
          <w:szCs w:val="32"/>
          <w:lang w:val="en-US" w:eastAsia="zh-CN"/>
        </w:rPr>
        <w:t>为</w:t>
      </w:r>
      <w:r>
        <w:rPr>
          <w:rFonts w:hint="eastAsia" w:ascii="仿宋" w:hAnsi="仿宋" w:eastAsia="仿宋"/>
          <w:color w:val="000000"/>
          <w:sz w:val="32"/>
          <w:szCs w:val="32"/>
        </w:rPr>
        <w:t>因公出国（境）费；公务用车购置及运行维护费支出决算</w:t>
      </w:r>
      <w:r>
        <w:rPr>
          <w:rFonts w:hint="eastAsia" w:ascii="仿宋" w:hAnsi="仿宋" w:eastAsia="仿宋"/>
          <w:color w:val="000000"/>
          <w:sz w:val="32"/>
          <w:szCs w:val="32"/>
          <w:lang w:val="en-US" w:eastAsia="zh-CN"/>
        </w:rPr>
        <w:t>3.62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73</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1.33</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27</w:t>
      </w:r>
      <w:r>
        <w:rPr>
          <w:rFonts w:ascii="仿宋" w:hAnsi="仿宋" w:eastAsia="仿宋"/>
          <w:color w:val="000000"/>
          <w:sz w:val="32"/>
          <w:szCs w:val="32"/>
        </w:rPr>
        <w:t>%</w:t>
      </w:r>
      <w:r>
        <w:rPr>
          <w:rFonts w:hint="eastAsia" w:ascii="仿宋" w:hAnsi="仿宋" w:eastAsia="仿宋"/>
          <w:color w:val="000000"/>
          <w:sz w:val="32"/>
          <w:szCs w:val="32"/>
        </w:rPr>
        <w:t>。具体情况如下：</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（图7：“三公”经费财政拨款支出结构）（饼状图）</w:t>
      </w:r>
    </w:p>
    <w:p>
      <w:pPr>
        <w:spacing w:line="600" w:lineRule="exact"/>
        <w:ind w:firstLine="640"/>
        <w:rPr>
          <w:rFonts w:hint="eastAsia" w:ascii="仿宋_GB2312" w:eastAsia="仿宋_GB2312"/>
          <w:color w:val="000000"/>
          <w:sz w:val="32"/>
          <w:szCs w:val="32"/>
          <w:lang w:eastAsia="zh-CN"/>
        </w:rPr>
      </w:pPr>
      <w:r>
        <w:rPr>
          <w:rFonts w:ascii="仿宋_GB2312" w:eastAsia="仿宋_GB2312"/>
          <w:b/>
          <w:color w:val="000000"/>
          <w:sz w:val="32"/>
          <w:szCs w:val="32"/>
        </w:rPr>
        <w:t>1.</w:t>
      </w:r>
      <w:r>
        <w:rPr>
          <w:rFonts w:hint="eastAsia" w:ascii="仿宋_GB2312" w:eastAsia="仿宋_GB2312"/>
          <w:b/>
          <w:color w:val="000000"/>
          <w:sz w:val="32"/>
          <w:szCs w:val="32"/>
          <w:lang w:val="en-US" w:eastAsia="zh-CN"/>
        </w:rPr>
        <w:t>无</w:t>
      </w:r>
      <w:r>
        <w:rPr>
          <w:rFonts w:hint="eastAsia" w:ascii="仿宋_GB2312" w:eastAsia="仿宋_GB2312"/>
          <w:b/>
          <w:color w:val="000000"/>
          <w:sz w:val="32"/>
          <w:szCs w:val="32"/>
        </w:rPr>
        <w:t>因公出国（境）经费支出</w:t>
      </w:r>
      <w:r>
        <w:rPr>
          <w:rFonts w:hint="eastAsia" w:ascii="仿宋_GB2312" w:eastAsia="仿宋_GB2312"/>
          <w:b/>
          <w:color w:val="000000"/>
          <w:sz w:val="32"/>
          <w:szCs w:val="32"/>
          <w:lang w:eastAsia="zh-CN"/>
        </w:rPr>
        <w:t>。</w:t>
      </w:r>
    </w:p>
    <w:p>
      <w:pPr>
        <w:spacing w:line="600" w:lineRule="exact"/>
        <w:ind w:firstLine="640"/>
        <w:rPr>
          <w:rFonts w:hint="default" w:ascii="仿宋_GB2312" w:eastAsia="仿宋_GB2312"/>
          <w:b/>
          <w:color w:val="000000"/>
          <w:sz w:val="32"/>
          <w:szCs w:val="32"/>
          <w:lang w:val="en-US"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3.62</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w:t>
      </w:r>
      <w:r>
        <w:rPr>
          <w:rFonts w:hint="eastAsia" w:ascii="仿宋_GB2312" w:eastAsia="仿宋_GB2312"/>
          <w:color w:val="000000"/>
          <w:sz w:val="32"/>
          <w:szCs w:val="32"/>
          <w:lang w:val="en-US" w:eastAsia="zh-CN"/>
        </w:rPr>
        <w:t>1.83</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33.57</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公务车维修减少。</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color w:val="000000"/>
          <w:sz w:val="32"/>
          <w:szCs w:val="32"/>
          <w:lang w:val="en-US" w:eastAsia="zh-CN"/>
        </w:rPr>
        <w:t>无</w:t>
      </w:r>
      <w:r>
        <w:rPr>
          <w:rFonts w:hint="eastAsia" w:ascii="仿宋_GB2312" w:eastAsia="仿宋_GB2312"/>
          <w:b/>
          <w:color w:val="000000"/>
          <w:sz w:val="32"/>
          <w:szCs w:val="32"/>
        </w:rPr>
        <w:t>公务用车购置</w:t>
      </w:r>
      <w:r>
        <w:rPr>
          <w:rFonts w:hint="eastAsia" w:ascii="仿宋_GB2312" w:eastAsia="仿宋_GB2312"/>
          <w:b/>
          <w:color w:val="000000"/>
          <w:sz w:val="32"/>
          <w:szCs w:val="32"/>
          <w:lang w:val="en-US" w:eastAsia="zh-CN"/>
        </w:rPr>
        <w:t>支出</w:t>
      </w:r>
      <w:r>
        <w:rPr>
          <w:rFonts w:hint="eastAsia" w:ascii="仿宋_GB2312" w:eastAsia="仿宋_GB2312"/>
          <w:color w:val="000000"/>
          <w:sz w:val="32"/>
          <w:szCs w:val="32"/>
        </w:rPr>
        <w:t>。</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3.62</w:t>
      </w:r>
      <w:r>
        <w:rPr>
          <w:rFonts w:hint="eastAsia" w:ascii="仿宋_GB2312" w:eastAsia="仿宋_GB2312"/>
          <w:color w:val="000000"/>
          <w:sz w:val="32"/>
          <w:szCs w:val="32"/>
        </w:rPr>
        <w:t>万元。主要用于</w:t>
      </w:r>
      <w:r>
        <w:rPr>
          <w:rFonts w:hint="eastAsia" w:ascii="仿宋_GB2312" w:hAnsi="仿宋_GB2312" w:eastAsia="仿宋_GB2312" w:cs="仿宋_GB2312"/>
          <w:color w:val="000000"/>
          <w:sz w:val="32"/>
          <w:szCs w:val="32"/>
          <w:lang w:eastAsia="zh-CN"/>
        </w:rPr>
        <w:t>脱贫攻坚下乡</w:t>
      </w:r>
      <w:r>
        <w:rPr>
          <w:rFonts w:hint="eastAsia" w:ascii="仿宋_GB2312" w:hAnsi="仿宋_GB2312" w:eastAsia="仿宋_GB2312" w:cs="仿宋_GB2312"/>
          <w:color w:val="000000"/>
          <w:sz w:val="32"/>
          <w:szCs w:val="32"/>
        </w:rPr>
        <w:t>等</w:t>
      </w:r>
      <w:r>
        <w:rPr>
          <w:rFonts w:hint="eastAsia" w:ascii="仿宋_GB2312" w:eastAsia="仿宋_GB2312"/>
          <w:color w:val="000000"/>
          <w:sz w:val="32"/>
          <w:szCs w:val="32"/>
        </w:rPr>
        <w:t>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1.33</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hint="eastAsia" w:ascii="仿宋_GB2312" w:eastAsia="仿宋_GB2312"/>
          <w:color w:val="000000"/>
          <w:sz w:val="32"/>
          <w:szCs w:val="32"/>
          <w:lang w:val="en-US" w:eastAsia="zh-CN"/>
        </w:rPr>
        <w:t>1.12</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500</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公务接待次数增加。</w:t>
      </w:r>
      <w:r>
        <w:rPr>
          <w:rFonts w:hint="eastAsia" w:ascii="仿宋_GB2312" w:eastAsia="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1.33</w:t>
      </w:r>
      <w:r>
        <w:rPr>
          <w:rFonts w:hint="eastAsia" w:ascii="仿宋_GB2312" w:eastAsia="仿宋_GB2312"/>
          <w:color w:val="000000"/>
          <w:sz w:val="32"/>
          <w:szCs w:val="32"/>
        </w:rPr>
        <w:t>万元，主要用于执行公务、开展业务活动开支的交通费、住宿费、用餐费等。国内公务接待</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批次，</w:t>
      </w:r>
      <w:r>
        <w:rPr>
          <w:rFonts w:hint="eastAsia" w:ascii="仿宋_GB2312" w:eastAsia="仿宋_GB2312"/>
          <w:color w:val="000000"/>
          <w:sz w:val="32"/>
          <w:szCs w:val="32"/>
          <w:lang w:val="en-US" w:eastAsia="zh-CN"/>
        </w:rPr>
        <w:t>47</w:t>
      </w:r>
      <w:r>
        <w:rPr>
          <w:rFonts w:hint="eastAsia" w:ascii="仿宋_GB2312" w:eastAsia="仿宋_GB2312"/>
          <w:color w:val="000000"/>
          <w:sz w:val="32"/>
          <w:szCs w:val="32"/>
        </w:rPr>
        <w:t>人次（不包括陪同人员），共计支出</w:t>
      </w:r>
      <w:r>
        <w:rPr>
          <w:rFonts w:hint="eastAsia" w:ascii="仿宋_GB2312" w:eastAsia="仿宋_GB2312"/>
          <w:color w:val="000000"/>
          <w:sz w:val="32"/>
          <w:szCs w:val="32"/>
          <w:lang w:val="en-US" w:eastAsia="zh-CN"/>
        </w:rPr>
        <w:t>1.33</w:t>
      </w:r>
      <w:r>
        <w:rPr>
          <w:rFonts w:hint="eastAsia" w:ascii="仿宋_GB2312" w:eastAsia="仿宋_GB2312"/>
          <w:color w:val="000000"/>
          <w:sz w:val="32"/>
          <w:szCs w:val="32"/>
        </w:rPr>
        <w:t>万元，具体内容包括：</w:t>
      </w:r>
      <w:r>
        <w:rPr>
          <w:rFonts w:hint="eastAsia" w:ascii="仿宋_GB2312" w:eastAsia="仿宋_GB2312"/>
          <w:color w:val="000000"/>
          <w:sz w:val="32"/>
          <w:szCs w:val="32"/>
          <w:lang w:val="en-US" w:eastAsia="zh-CN"/>
        </w:rPr>
        <w:t>文化科技卫生“三下乡”、社区矫正交叉检查、“鸽鸽讲堂”采访工作、对口援助工作等</w:t>
      </w:r>
      <w:r>
        <w:rPr>
          <w:rFonts w:hint="eastAsia" w:ascii="仿宋_GB2312" w:eastAsia="仿宋_GB2312"/>
          <w:color w:val="000000"/>
          <w:sz w:val="32"/>
          <w:szCs w:val="32"/>
        </w:rPr>
        <w:t>。</w:t>
      </w:r>
    </w:p>
    <w:p>
      <w:pPr>
        <w:spacing w:line="600" w:lineRule="exact"/>
        <w:ind w:firstLine="643" w:firstLineChars="200"/>
        <w:rPr>
          <w:rFonts w:hint="eastAsia" w:ascii="仿宋_GB2312" w:eastAsia="仿宋"/>
          <w:color w:val="000000" w:themeColor="text1"/>
          <w:sz w:val="32"/>
          <w:szCs w:val="32"/>
          <w:lang w:eastAsia="zh-CN"/>
          <w14:textFill>
            <w14:solidFill>
              <w14:schemeClr w14:val="tx1"/>
            </w14:solidFill>
          </w14:textFill>
        </w:rPr>
      </w:pPr>
      <w:r>
        <w:rPr>
          <w:rFonts w:hint="eastAsia" w:ascii="仿宋" w:hAnsi="仿宋" w:eastAsia="仿宋"/>
          <w:b/>
          <w:color w:val="000000"/>
          <w:sz w:val="32"/>
          <w:szCs w:val="32"/>
          <w:lang w:val="en-US" w:eastAsia="zh-CN"/>
        </w:rPr>
        <w:t>无</w:t>
      </w:r>
      <w:r>
        <w:rPr>
          <w:rFonts w:hint="eastAsia" w:ascii="仿宋" w:hAnsi="仿宋" w:eastAsia="仿宋"/>
          <w:b/>
          <w:color w:val="000000"/>
          <w:sz w:val="32"/>
          <w:szCs w:val="32"/>
        </w:rPr>
        <w:t>外事接待支出</w:t>
      </w:r>
      <w:r>
        <w:rPr>
          <w:rFonts w:hint="eastAsia" w:ascii="仿宋" w:hAnsi="仿宋" w:eastAsia="仿宋"/>
          <w:b/>
          <w:color w:val="000000"/>
          <w:sz w:val="32"/>
          <w:szCs w:val="32"/>
          <w:lang w:eastAsia="zh-CN"/>
        </w:rPr>
        <w:t>。</w:t>
      </w:r>
    </w:p>
    <w:p>
      <w:pPr>
        <w:spacing w:line="600" w:lineRule="exact"/>
        <w:ind w:firstLine="640"/>
        <w:outlineLvl w:val="1"/>
        <w:rPr>
          <w:rFonts w:ascii="黑体" w:eastAsia="黑体"/>
          <w:color w:val="000000"/>
          <w:sz w:val="32"/>
          <w:szCs w:val="32"/>
        </w:rPr>
      </w:pPr>
      <w:bookmarkStart w:id="46" w:name="_Toc15377218"/>
      <w:bookmarkStart w:id="47" w:name="_Toc15396610"/>
    </w:p>
    <w:p>
      <w:pPr>
        <w:spacing w:line="600" w:lineRule="exact"/>
        <w:ind w:firstLine="640"/>
        <w:outlineLvl w:val="1"/>
        <w:rPr>
          <w:rStyle w:val="26"/>
          <w:rFonts w:ascii="黑体" w:hAnsi="黑体" w:eastAsia="黑体"/>
        </w:rPr>
      </w:pPr>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val="en-US" w:eastAsia="zh-CN"/>
        </w:rPr>
        <w:t>无</w:t>
      </w:r>
      <w:r>
        <w:rPr>
          <w:rFonts w:hint="eastAsia" w:ascii="仿宋_GB2312" w:eastAsia="仿宋_GB2312"/>
          <w:color w:val="000000"/>
          <w:sz w:val="32"/>
          <w:szCs w:val="32"/>
        </w:rPr>
        <w:t>政府性基金预算拨款支出。</w:t>
      </w:r>
    </w:p>
    <w:p>
      <w:pPr>
        <w:spacing w:line="600" w:lineRule="exact"/>
        <w:ind w:firstLine="640"/>
        <w:rPr>
          <w:rFonts w:ascii="仿宋_GB2312" w:eastAsia="仿宋_GB2312"/>
          <w:color w:val="000000"/>
          <w:sz w:val="32"/>
          <w:szCs w:val="32"/>
        </w:rPr>
      </w:pPr>
    </w:p>
    <w:p>
      <w:pPr>
        <w:numPr>
          <w:ilvl w:val="0"/>
          <w:numId w:val="3"/>
        </w:numPr>
        <w:spacing w:line="600" w:lineRule="exact"/>
        <w:ind w:firstLine="640"/>
        <w:outlineLvl w:val="1"/>
        <w:rPr>
          <w:rStyle w:val="26"/>
          <w:rFonts w:ascii="黑体" w:hAnsi="黑体" w:eastAsia="黑体"/>
          <w:b w:val="0"/>
        </w:rPr>
      </w:pPr>
      <w:bookmarkStart w:id="48" w:name="_Toc15377219"/>
      <w:bookmarkStart w:id="49" w:name="_Toc15396611"/>
      <w:r>
        <w:rPr>
          <w:rStyle w:val="26"/>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val="en-US" w:eastAsia="zh-CN"/>
        </w:rPr>
        <w:t>无</w:t>
      </w:r>
      <w:r>
        <w:rPr>
          <w:rFonts w:hint="eastAsia" w:ascii="仿宋_GB2312" w:eastAsia="仿宋_GB2312"/>
          <w:color w:val="000000"/>
          <w:sz w:val="32"/>
          <w:szCs w:val="32"/>
        </w:rPr>
        <w:t>国有资本经营预算拨款支出。</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26"/>
          <w:rFonts w:ascii="黑体" w:hAnsi="黑体" w:eastAsia="黑体"/>
        </w:rPr>
      </w:pPr>
      <w:bookmarkStart w:id="50" w:name="_Toc15396612"/>
      <w:bookmarkStart w:id="51" w:name="_Toc15377221"/>
      <w:r>
        <w:rPr>
          <w:rFonts w:hint="eastAsia" w:ascii="黑体" w:hAnsi="黑体" w:eastAsia="黑体"/>
          <w:color w:val="000000"/>
          <w:sz w:val="32"/>
          <w:szCs w:val="32"/>
        </w:rPr>
        <w:t>十</w:t>
      </w:r>
      <w:r>
        <w:rPr>
          <w:rStyle w:val="26"/>
          <w:rFonts w:hint="eastAsia" w:ascii="黑体" w:hAnsi="黑体" w:eastAsia="黑体"/>
        </w:rPr>
        <w:t>、</w:t>
      </w:r>
      <w:r>
        <w:rPr>
          <w:rStyle w:val="26"/>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0" w:firstLineChars="200"/>
        <w:rPr>
          <w:rFonts w:hint="eastAsia" w:ascii="仿宋_GB2312" w:eastAsia="仿宋_GB2312"/>
          <w:color w:val="000000" w:themeColor="text1"/>
          <w:sz w:val="32"/>
          <w:szCs w:val="32"/>
          <w:lang w:eastAsia="zh-CN"/>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val="en-US" w:eastAsia="zh-CN"/>
        </w:rPr>
        <w:t>司法局</w:t>
      </w:r>
      <w:r>
        <w:rPr>
          <w:rFonts w:hint="eastAsia" w:ascii="仿宋_GB2312" w:eastAsia="仿宋_GB2312"/>
          <w:color w:val="000000"/>
          <w:sz w:val="32"/>
          <w:szCs w:val="32"/>
        </w:rPr>
        <w:t>机关运行经费支出</w:t>
      </w:r>
      <w:r>
        <w:rPr>
          <w:rFonts w:hint="eastAsia" w:ascii="仿宋_GB2312" w:eastAsia="仿宋_GB2312"/>
          <w:color w:val="000000"/>
          <w:sz w:val="32"/>
          <w:szCs w:val="32"/>
          <w:lang w:val="en-US" w:eastAsia="zh-CN"/>
        </w:rPr>
        <w:t>281.98</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rPr>
        <w:t>8年增加</w:t>
      </w:r>
      <w:r>
        <w:rPr>
          <w:rFonts w:hint="eastAsia" w:ascii="仿宋_GB2312" w:eastAsia="仿宋_GB2312"/>
          <w:color w:val="000000"/>
          <w:sz w:val="32"/>
          <w:szCs w:val="32"/>
          <w:lang w:val="en-US" w:eastAsia="zh-CN"/>
        </w:rPr>
        <w:t>55.24</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24</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w:t>
      </w:r>
      <w:r>
        <w:rPr>
          <w:rFonts w:hint="eastAsia" w:ascii="仿宋_GB2312" w:eastAsia="仿宋_GB2312"/>
          <w:color w:val="000000" w:themeColor="text1"/>
          <w:sz w:val="32"/>
          <w:szCs w:val="32"/>
          <w:lang w:val="en-US" w:eastAsia="zh-CN"/>
          <w14:textFill>
            <w14:solidFill>
              <w14:schemeClr w14:val="tx1"/>
            </w14:solidFill>
          </w14:textFill>
        </w:rPr>
        <w:t>财政供养人员增加</w:t>
      </w:r>
      <w:r>
        <w:rPr>
          <w:rFonts w:hint="eastAsia" w:ascii="仿宋_GB2312" w:eastAsia="仿宋_GB2312"/>
          <w:color w:val="000000" w:themeColor="text1"/>
          <w:sz w:val="32"/>
          <w:szCs w:val="32"/>
          <w:lang w:eastAsia="zh-CN"/>
          <w14:textFill>
            <w14:solidFill>
              <w14:schemeClr w14:val="tx1"/>
            </w14:solidFill>
          </w14:textFill>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0" w:firstLineChars="200"/>
        <w:rPr>
          <w:rFonts w:ascii="仿宋" w:hAnsi="仿宋" w:eastAsia="仿宋"/>
          <w:b/>
          <w:color w:val="FF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val="en-US" w:eastAsia="zh-CN"/>
        </w:rPr>
        <w:t>司法局</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15.55</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15.55</w:t>
      </w:r>
      <w:r>
        <w:rPr>
          <w:rFonts w:hint="eastAsia" w:ascii="仿宋_GB2312" w:eastAsia="仿宋_GB2312"/>
          <w:color w:val="000000"/>
          <w:sz w:val="32"/>
          <w:szCs w:val="32"/>
        </w:rPr>
        <w:t>万元。主要用于</w:t>
      </w:r>
      <w:r>
        <w:rPr>
          <w:rFonts w:hint="eastAsia" w:ascii="仿宋_GB2312" w:eastAsia="仿宋_GB2312"/>
          <w:color w:val="000000"/>
          <w:sz w:val="32"/>
          <w:szCs w:val="32"/>
          <w:lang w:val="en-US" w:eastAsia="zh-CN"/>
        </w:rPr>
        <w:t>基层司法业务、普法宣传、法律援助和社区矫正业务</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ascii="仿宋_GB2312" w:eastAsia="仿宋_GB2312"/>
          <w:color w:val="000000"/>
          <w:sz w:val="32"/>
          <w:szCs w:val="32"/>
          <w:lang w:val="en-US" w:eastAsia="zh-CN"/>
        </w:rPr>
        <w:t>司法局</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辆，其中：一般执法执勤用车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辆、主要是用</w:t>
      </w:r>
      <w:r>
        <w:rPr>
          <w:rFonts w:hint="eastAsia" w:ascii="仿宋_GB2312" w:eastAsia="仿宋_GB2312"/>
          <w:color w:val="000000"/>
          <w:sz w:val="32"/>
          <w:szCs w:val="32"/>
          <w:lang w:eastAsia="zh-CN"/>
        </w:rPr>
        <w:t>于区内下乡和区外出差。无</w:t>
      </w:r>
      <w:r>
        <w:rPr>
          <w:rFonts w:hint="eastAsia" w:ascii="仿宋_GB2312" w:eastAsia="仿宋_GB2312"/>
          <w:color w:val="000000"/>
          <w:sz w:val="32"/>
          <w:szCs w:val="32"/>
        </w:rPr>
        <w:t>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hint="eastAsia" w:ascii="仿宋_GB2312" w:eastAsia="仿宋_GB2312"/>
          <w:color w:val="000000"/>
          <w:sz w:val="32"/>
          <w:szCs w:val="32"/>
          <w:lang w:eastAsia="zh-CN"/>
        </w:rPr>
        <w:t>，无</w:t>
      </w:r>
      <w:r>
        <w:rPr>
          <w:rFonts w:hint="eastAsia" w:ascii="仿宋_GB2312" w:eastAsia="仿宋_GB2312"/>
          <w:color w:val="000000"/>
          <w:sz w:val="32"/>
          <w:szCs w:val="32"/>
        </w:rPr>
        <w:t>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hint="eastAsia" w:ascii="仿宋_GB2312" w:hAnsi="仿宋_GB2312" w:eastAsia="仿宋_GB2312" w:cs="仿宋_GB2312"/>
          <w:sz w:val="32"/>
          <w:szCs w:val="32"/>
          <w:lang w:val="en-US" w:eastAsia="zh-CN"/>
        </w:rPr>
        <w:t>一般行政管理事务、基层司法业务、普法宣传、法律援助、社区矫正</w:t>
      </w:r>
      <w:r>
        <w:rPr>
          <w:rFonts w:hint="eastAsia" w:ascii="仿宋_GB2312" w:hAnsi="仿宋_GB2312" w:eastAsia="仿宋_GB2312" w:cs="仿宋_GB2312"/>
          <w:sz w:val="32"/>
          <w:szCs w:val="32"/>
        </w:rPr>
        <w:t>项目开展了预算事前绩效评估，对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个项目开展了绩效目标完成情况自评。</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本部门按要求对2019年部门整体支出开展绩效自评，从评价情况来看</w:t>
      </w:r>
      <w:r>
        <w:rPr>
          <w:rFonts w:hint="eastAsia" w:ascii="仿宋_GB2312" w:hAnsi="仿宋_GB2312" w:eastAsia="仿宋_GB2312" w:cs="仿宋_GB2312"/>
          <w:sz w:val="32"/>
          <w:szCs w:val="32"/>
          <w:lang w:eastAsia="zh-CN"/>
        </w:rPr>
        <w:t>我局绩效评价考核自查情况总体良好，部门认真履职，项目认真落实，效果明显，群众满意度高。</w:t>
      </w:r>
      <w:r>
        <w:rPr>
          <w:rFonts w:hint="eastAsia" w:ascii="仿宋_GB2312" w:hAnsi="仿宋_GB2312" w:eastAsia="仿宋_GB2312" w:cs="仿宋_GB2312"/>
          <w:sz w:val="32"/>
          <w:szCs w:val="32"/>
        </w:rPr>
        <w:t>本部门还自行组织了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个项目支出绩效评价，从评价情况来看</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个项目支出绩效评价</w:t>
      </w:r>
      <w:r>
        <w:rPr>
          <w:rFonts w:hint="eastAsia" w:ascii="仿宋_GB2312" w:hAnsi="仿宋_GB2312" w:eastAsia="仿宋_GB2312" w:cs="仿宋_GB2312"/>
          <w:sz w:val="32"/>
          <w:szCs w:val="32"/>
          <w:lang w:eastAsia="zh-CN"/>
        </w:rPr>
        <w:t>总体良好，项目认真落实，效果明显，群众满意度高</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本部门在2019年度部门决算中反映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一般行政管理事务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基层司法业务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普法宣传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法律援助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社区矫正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个项目绩效目标实际完成情况。</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一般行政管理事务</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44.19</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34.53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78</w:t>
      </w:r>
      <w:r>
        <w:rPr>
          <w:rFonts w:hint="eastAsia" w:ascii="仿宋_GB2312" w:hAnsi="仿宋_GB2312" w:eastAsia="仿宋_GB2312" w:cs="仿宋_GB2312"/>
          <w:sz w:val="32"/>
          <w:szCs w:val="32"/>
        </w:rPr>
        <w:t>%。通过项目实施，确保司法行政工作正常运转。</w:t>
      </w:r>
      <w:r>
        <w:rPr>
          <w:rFonts w:hint="eastAsia" w:ascii="仿宋_GB2312" w:hAnsi="仿宋_GB2312" w:eastAsia="仿宋_GB2312" w:cs="仿宋_GB2312"/>
          <w:sz w:val="32"/>
          <w:szCs w:val="32"/>
          <w:lang w:val="en-US" w:eastAsia="zh-CN"/>
        </w:rPr>
        <w:t>暂未发现相关问题。</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基层司法业务</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8.3</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41</w:t>
      </w:r>
      <w:r>
        <w:rPr>
          <w:rFonts w:hint="eastAsia" w:ascii="仿宋_GB2312" w:hAnsi="仿宋_GB2312" w:eastAsia="仿宋_GB2312" w:cs="仿宋_GB2312"/>
          <w:sz w:val="32"/>
          <w:szCs w:val="32"/>
        </w:rPr>
        <w:t>%。通过项目实施，确保基层司法所业务运转。发现的主要问题：</w:t>
      </w:r>
      <w:r>
        <w:rPr>
          <w:rFonts w:hint="eastAsia" w:ascii="仿宋_GB2312" w:hAnsi="仿宋_GB2312" w:eastAsia="仿宋_GB2312" w:cs="仿宋_GB2312"/>
          <w:sz w:val="32"/>
          <w:szCs w:val="32"/>
          <w:lang w:val="en-US" w:eastAsia="zh-CN"/>
        </w:rPr>
        <w:t>基层司法所力量仍旧薄弱</w:t>
      </w:r>
      <w:r>
        <w:rPr>
          <w:rFonts w:hint="eastAsia" w:ascii="仿宋_GB2312" w:hAnsi="仿宋_GB2312" w:eastAsia="仿宋_GB2312" w:cs="仿宋_GB2312"/>
          <w:sz w:val="32"/>
          <w:szCs w:val="32"/>
        </w:rPr>
        <w:t>。下一步改进措施：</w:t>
      </w:r>
      <w:r>
        <w:rPr>
          <w:rFonts w:hint="eastAsia" w:ascii="仿宋_GB2312" w:hAnsi="仿宋_GB2312" w:eastAsia="仿宋_GB2312" w:cs="仿宋_GB2312"/>
          <w:sz w:val="32"/>
          <w:szCs w:val="32"/>
          <w:lang w:val="en-US" w:eastAsia="zh-CN"/>
        </w:rPr>
        <w:t>进一步夯实基层司法所建设。</w:t>
      </w:r>
    </w:p>
    <w:p>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普法宣传</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1.69</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%。通过项目实施，保障了</w:t>
      </w:r>
      <w:r>
        <w:rPr>
          <w:rFonts w:hint="eastAsia" w:ascii="仿宋_GB2312" w:hAnsi="仿宋_GB2312" w:eastAsia="仿宋_GB2312" w:cs="仿宋_GB2312"/>
          <w:sz w:val="32"/>
          <w:szCs w:val="32"/>
          <w:lang w:eastAsia="zh-CN"/>
        </w:rPr>
        <w:t>普法宣传项目的</w:t>
      </w:r>
      <w:r>
        <w:rPr>
          <w:rFonts w:hint="eastAsia" w:ascii="仿宋_GB2312" w:hAnsi="仿宋_GB2312" w:eastAsia="仿宋_GB2312" w:cs="仿宋_GB2312"/>
          <w:sz w:val="32"/>
          <w:szCs w:val="32"/>
        </w:rPr>
        <w:t>顺利</w:t>
      </w:r>
      <w:r>
        <w:rPr>
          <w:rFonts w:hint="eastAsia" w:ascii="仿宋_GB2312" w:hAnsi="仿宋_GB2312" w:eastAsia="仿宋_GB2312" w:cs="仿宋_GB2312"/>
          <w:sz w:val="32"/>
          <w:szCs w:val="32"/>
          <w:lang w:eastAsia="zh-CN"/>
        </w:rPr>
        <w:t>开展。暂时未发现相关问题。</w:t>
      </w:r>
    </w:p>
    <w:p>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法律援助</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4.97</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保障了法律援助工作的正常进行</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发现的主要问题：</w:t>
      </w:r>
      <w:r>
        <w:rPr>
          <w:rFonts w:hint="eastAsia" w:ascii="仿宋_GB2312" w:hAnsi="仿宋_GB2312" w:eastAsia="仿宋_GB2312" w:cs="仿宋_GB2312"/>
          <w:sz w:val="32"/>
          <w:szCs w:val="32"/>
          <w:lang w:eastAsia="zh-CN"/>
        </w:rPr>
        <w:t>部分偏远地区群众法律意识还较为薄弱。</w:t>
      </w:r>
    </w:p>
    <w:p>
      <w:pPr>
        <w:spacing w:line="58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社区矫正</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6.86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49</w:t>
      </w:r>
      <w:r>
        <w:rPr>
          <w:rFonts w:hint="eastAsia" w:ascii="仿宋_GB2312" w:hAnsi="仿宋_GB2312" w:eastAsia="仿宋_GB2312" w:cs="仿宋_GB2312"/>
          <w:sz w:val="32"/>
          <w:szCs w:val="32"/>
        </w:rPr>
        <w:t>%。通过项目实施，保障了</w:t>
      </w:r>
      <w:r>
        <w:rPr>
          <w:rFonts w:hint="eastAsia" w:ascii="仿宋_GB2312" w:hAnsi="仿宋_GB2312" w:eastAsia="仿宋_GB2312" w:cs="仿宋_GB2312"/>
          <w:sz w:val="32"/>
          <w:szCs w:val="32"/>
          <w:lang w:eastAsia="zh-CN"/>
        </w:rPr>
        <w:t>社区矫正工作的顺利</w:t>
      </w:r>
      <w:r>
        <w:rPr>
          <w:rFonts w:hint="eastAsia" w:ascii="仿宋_GB2312" w:hAnsi="仿宋_GB2312" w:eastAsia="仿宋_GB2312" w:cs="仿宋_GB2312"/>
          <w:sz w:val="32"/>
          <w:szCs w:val="32"/>
          <w:lang w:val="en-US" w:eastAsia="zh-CN"/>
        </w:rPr>
        <w:t>开展。暂未发现有关问题。</w:t>
      </w:r>
    </w:p>
    <w:p>
      <w:pPr>
        <w:pStyle w:val="2"/>
      </w:pPr>
    </w:p>
    <w:p>
      <w:pPr>
        <w:spacing w:line="580" w:lineRule="exact"/>
        <w:ind w:firstLine="640" w:firstLineChars="20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一般行政管理事务</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乐山市金口河区</w:t>
            </w:r>
            <w:r>
              <w:rPr>
                <w:rFonts w:hint="eastAsia" w:ascii="宋体" w:hAnsi="宋体" w:cs="宋体"/>
                <w:color w:val="000000"/>
                <w:kern w:val="0"/>
                <w:sz w:val="24"/>
                <w:lang w:eastAsia="zh-CN"/>
              </w:rPr>
              <w:t>司法局</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44.19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34.53</w:t>
            </w:r>
          </w:p>
        </w:tc>
      </w:tr>
      <w:tr>
        <w:tblPrEx>
          <w:tblLayout w:type="fixed"/>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44.19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34.53</w:t>
            </w:r>
          </w:p>
        </w:tc>
      </w:tr>
      <w:tr>
        <w:tblPrEx>
          <w:tblLayout w:type="fixed"/>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确保司法行政工作正常运转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确保司法行政工作正常运转</w:t>
            </w:r>
          </w:p>
        </w:tc>
      </w:tr>
      <w:tr>
        <w:tblPrEx>
          <w:tblLayout w:type="fixed"/>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科学决策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必要性、可行性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符合党中央、国务院和省委、省政府决策部署；符合当前经济社会发展需要，政策和实际需求的吻合程度分析。可行性论证充分，规划、管理办法、指导意见等制度是否健全完善（10分）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项目经过充分论证，符合实际需求（10分）</w:t>
            </w:r>
          </w:p>
        </w:tc>
      </w:tr>
      <w:tr>
        <w:tblPrEx>
          <w:tblLayout w:type="fixed"/>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明确性、合理性                                                                                                                                                                                                                                                                                                                                                                                                                                                                                                                                                                                                                                                                                                                                                                                                                                                                                                                                                                                                                                                                                                                                                                                                                                                                                                                                                                                                                                                                                                                                                                                                                                                                                                                                                                                                                                                                                                                                                                                                                                                                                                                                          </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绩效目标设定符合实际需求，合理可行；项目预期提供的产品、服务、效益或其他目标明确细化，可衡量（10分）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绩效目标设定符合实际需求，合理可行；项目预期提供服务可衡量（10分）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资金管理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资金分配、资金使用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资金分配管理科学合理、规范有序；体现突出重点或公平性，符合财政资金改革方向；资金使用规范（7分）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资金使用规范，分配合理（7分）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执行规范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管理制度健全，管理过程科学规范（3分）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管理过程科学规范（3分）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完成数量、完成质量、完成时效、完成成本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完成任务数、符合目标设定的验收标准，按时完成（20分）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按时高质量完成目标绩效（20分）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经济效益</w:t>
            </w:r>
          </w:p>
          <w:p>
            <w:pPr>
              <w:widowControl/>
              <w:jc w:val="center"/>
              <w:textAlignment w:val="center"/>
              <w:rPr>
                <w:rFonts w:ascii="宋体" w:hAnsi="宋体" w:cs="宋体"/>
                <w:color w:val="000000"/>
                <w:sz w:val="24"/>
              </w:rPr>
            </w:pPr>
            <w:r>
              <w:rPr>
                <w:rFonts w:hint="eastAsia" w:ascii="宋体" w:hAnsi="宋体" w:cs="宋体"/>
                <w:color w:val="000000"/>
                <w:sz w:val="24"/>
              </w:rPr>
              <w:t>社会效益</w:t>
            </w:r>
          </w:p>
          <w:p>
            <w:pPr>
              <w:widowControl/>
              <w:jc w:val="center"/>
              <w:textAlignment w:val="center"/>
              <w:rPr>
                <w:rFonts w:ascii="宋体" w:hAnsi="宋体" w:cs="宋体"/>
                <w:color w:val="000000"/>
                <w:sz w:val="24"/>
              </w:rPr>
            </w:pPr>
            <w:r>
              <w:rPr>
                <w:rFonts w:hint="eastAsia" w:ascii="宋体" w:hAnsi="宋体" w:cs="宋体"/>
                <w:color w:val="000000"/>
                <w:sz w:val="24"/>
              </w:rPr>
              <w:t>生态效益</w:t>
            </w:r>
          </w:p>
          <w:p>
            <w:pPr>
              <w:widowControl/>
              <w:jc w:val="center"/>
              <w:textAlignment w:val="center"/>
              <w:rPr>
                <w:rFonts w:ascii="宋体" w:hAnsi="宋体" w:cs="宋体"/>
                <w:color w:val="000000"/>
                <w:sz w:val="24"/>
              </w:rPr>
            </w:pPr>
            <w:r>
              <w:rPr>
                <w:rFonts w:hint="eastAsia" w:ascii="宋体" w:hAnsi="宋体" w:cs="宋体"/>
                <w:color w:val="000000"/>
                <w:sz w:val="24"/>
              </w:rPr>
              <w:t>使用率效益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反映相关产出对经济社会发展带来的影响和效果；反映相关产出对社会发展带来的影响和效果；反映相关产出对自然环境带来的影响和效果；反映使用率指标（40分）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项目经济社会生态及使用率效益良好（35分）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服务对象对相关产出及影响的认可度（10分）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服务对象满意（10分）</w:t>
            </w: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基层司法业务</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乐山市金口河区</w:t>
            </w:r>
            <w:r>
              <w:rPr>
                <w:rFonts w:hint="eastAsia" w:ascii="宋体" w:hAnsi="宋体" w:cs="宋体"/>
                <w:color w:val="000000"/>
                <w:kern w:val="0"/>
                <w:sz w:val="24"/>
                <w:lang w:eastAsia="zh-CN"/>
              </w:rPr>
              <w:t>司法局</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8.3</w:t>
            </w:r>
          </w:p>
        </w:tc>
      </w:tr>
      <w:tr>
        <w:tblPrEx>
          <w:tblLayout w:type="fixed"/>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8.3</w:t>
            </w:r>
          </w:p>
        </w:tc>
      </w:tr>
      <w:tr>
        <w:tblPrEx>
          <w:tblLayout w:type="fixed"/>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确保基层司法所业务运转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确保基层司法所业务运转</w:t>
            </w:r>
          </w:p>
        </w:tc>
      </w:tr>
      <w:tr>
        <w:tblPrEx>
          <w:tblLayout w:type="fixed"/>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科学决策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必要性、可行性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符合党中央、国务院和省委、省政府决策部署；符合当前经济社会发展需要，政策和实际需求的吻合程度分析。可行性论证充分，规划、管理办法、指导意见等制度是否健全完善（10分）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项目经过充分论证，符合实际需求（10分）</w:t>
            </w:r>
          </w:p>
        </w:tc>
      </w:tr>
      <w:tr>
        <w:tblPrEx>
          <w:tblLayout w:type="fixed"/>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明确性、合理性                                                                                                                                                                                                                                                                                                                                                                                                                                                                                                                                                                                                                                                                                                                                                                                                                                                                                                                                                                                                                                                                                                                                                                                                                                                                                                                                                                                                                                                                                                                                                                                                                                                                                                                                                                                                                                                                                                                                                                                                                                                                                                                                          </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绩效目标设定符合实际需求，合理可行；项目预期提供的产品、服务、效益或其他目标明确细化，可衡量（10分）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绩效目标设定符合实际需求，合理可行；项目预期提供服务可衡量（10分）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资金管理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资金分配、资金使用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资金分配管理科学合理、规范有序；体现突出重点或公平性，符合财政资金改革方向；资金使用规范（7分）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资金使用规范，分配合理（7分）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执行规范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管理制度健全，管理过程科学规范（3分）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管理过程科学规范（3分）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完成数量、完成质量、完成时效、完成成本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完成任务数、符合目标设定的验收标准，按时完成（20分）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按时高质量完成目标绩效（20分）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经济效益</w:t>
            </w:r>
          </w:p>
          <w:p>
            <w:pPr>
              <w:widowControl/>
              <w:jc w:val="center"/>
              <w:textAlignment w:val="center"/>
              <w:rPr>
                <w:rFonts w:ascii="宋体" w:hAnsi="宋体" w:cs="宋体"/>
                <w:color w:val="000000"/>
                <w:sz w:val="24"/>
              </w:rPr>
            </w:pPr>
            <w:r>
              <w:rPr>
                <w:rFonts w:hint="eastAsia" w:ascii="宋体" w:hAnsi="宋体" w:cs="宋体"/>
                <w:color w:val="000000"/>
                <w:sz w:val="24"/>
              </w:rPr>
              <w:t>社会效益</w:t>
            </w:r>
          </w:p>
          <w:p>
            <w:pPr>
              <w:widowControl/>
              <w:jc w:val="center"/>
              <w:textAlignment w:val="center"/>
              <w:rPr>
                <w:rFonts w:ascii="宋体" w:hAnsi="宋体" w:cs="宋体"/>
                <w:color w:val="000000"/>
                <w:sz w:val="24"/>
              </w:rPr>
            </w:pPr>
            <w:r>
              <w:rPr>
                <w:rFonts w:hint="eastAsia" w:ascii="宋体" w:hAnsi="宋体" w:cs="宋体"/>
                <w:color w:val="000000"/>
                <w:sz w:val="24"/>
              </w:rPr>
              <w:t>生态效益</w:t>
            </w:r>
          </w:p>
          <w:p>
            <w:pPr>
              <w:widowControl/>
              <w:jc w:val="center"/>
              <w:textAlignment w:val="center"/>
              <w:rPr>
                <w:rFonts w:ascii="宋体" w:hAnsi="宋体" w:cs="宋体"/>
                <w:color w:val="000000"/>
                <w:sz w:val="24"/>
              </w:rPr>
            </w:pPr>
            <w:r>
              <w:rPr>
                <w:rFonts w:hint="eastAsia" w:ascii="宋体" w:hAnsi="宋体" w:cs="宋体"/>
                <w:color w:val="000000"/>
                <w:sz w:val="24"/>
              </w:rPr>
              <w:t>使用率效益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反映相关产出对经济社会发展带来的影响和效果；反映相关产出对社会发展带来的影响和效果；反映相关产出对自然环境带来的影响和效果；反映使用率指标（40分）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项目经济社会生态及使用率效益良好（35分）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服务对象对相关产出及影响的认可度（10分）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服务对象满意（10分）</w:t>
            </w:r>
          </w:p>
        </w:tc>
      </w:tr>
    </w:tbl>
    <w:p>
      <w:pPr>
        <w:spacing w:line="580" w:lineRule="exact"/>
        <w:ind w:firstLine="640" w:firstLineChars="20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普法宣传</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乐山市金口河区</w:t>
            </w:r>
            <w:r>
              <w:rPr>
                <w:rFonts w:hint="eastAsia" w:ascii="宋体" w:hAnsi="宋体" w:cs="宋体"/>
                <w:color w:val="000000"/>
                <w:kern w:val="0"/>
                <w:sz w:val="24"/>
                <w:lang w:eastAsia="zh-CN"/>
              </w:rPr>
              <w:t>司法局</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1.69</w:t>
            </w:r>
          </w:p>
        </w:tc>
      </w:tr>
      <w:tr>
        <w:tblPrEx>
          <w:tblLayout w:type="fixed"/>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1.69</w:t>
            </w:r>
          </w:p>
        </w:tc>
      </w:tr>
      <w:tr>
        <w:tblPrEx>
          <w:tblLayout w:type="fixed"/>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w:t>
            </w:r>
            <w:r>
              <w:rPr>
                <w:rFonts w:hint="eastAsia" w:ascii="宋体" w:hAnsi="宋体" w:cs="宋体"/>
                <w:color w:val="000000"/>
                <w:sz w:val="24"/>
                <w:lang w:eastAsia="zh-CN"/>
              </w:rPr>
              <w:t>普法宣传项目的</w:t>
            </w:r>
            <w:r>
              <w:rPr>
                <w:rFonts w:hint="eastAsia" w:ascii="宋体" w:hAnsi="宋体" w:cs="宋体"/>
                <w:color w:val="000000"/>
                <w:sz w:val="24"/>
              </w:rPr>
              <w:t>顺利</w:t>
            </w:r>
            <w:r>
              <w:rPr>
                <w:rFonts w:hint="eastAsia" w:ascii="宋体" w:hAnsi="宋体" w:cs="宋体"/>
                <w:color w:val="000000"/>
                <w:sz w:val="24"/>
                <w:lang w:eastAsia="zh-CN"/>
              </w:rPr>
              <w:t>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w:t>
            </w:r>
            <w:r>
              <w:rPr>
                <w:rFonts w:hint="eastAsia" w:ascii="宋体" w:hAnsi="宋体" w:cs="宋体"/>
                <w:color w:val="000000"/>
                <w:sz w:val="24"/>
                <w:lang w:eastAsia="zh-CN"/>
              </w:rPr>
              <w:t>普法宣传项目的</w:t>
            </w:r>
            <w:r>
              <w:rPr>
                <w:rFonts w:hint="eastAsia" w:ascii="宋体" w:hAnsi="宋体" w:cs="宋体"/>
                <w:color w:val="000000"/>
                <w:sz w:val="24"/>
              </w:rPr>
              <w:t>顺利</w:t>
            </w:r>
            <w:r>
              <w:rPr>
                <w:rFonts w:hint="eastAsia" w:ascii="宋体" w:hAnsi="宋体" w:cs="宋体"/>
                <w:color w:val="000000"/>
                <w:sz w:val="24"/>
                <w:lang w:eastAsia="zh-CN"/>
              </w:rPr>
              <w:t>开展</w:t>
            </w:r>
          </w:p>
        </w:tc>
      </w:tr>
      <w:tr>
        <w:tblPrEx>
          <w:tblLayout w:type="fixed"/>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科学决策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必要性、可行性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符合党中央、国务院和省委、省政府决策部署；符合当前经济社会发展需要，政策和实际需求的吻合程度分析。可行性论证充分，规划、管理办法、指导意见等制度是否健全完善（10分）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项目经过充分论证，符合实际需求（10分）</w:t>
            </w:r>
          </w:p>
        </w:tc>
      </w:tr>
      <w:tr>
        <w:tblPrEx>
          <w:tblLayout w:type="fixed"/>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明确性、合理性                                                                                                                                                                                                                                                                                                                                                                                                                                                                                                                                                                                                                                                                                                                                                                                                                                                                                                                                                                                                                                                                                                                                                                                                                                                                                                                                                                                                                                                                                                                                                                                                                                                                                                                                                                                                                                                                                                                                                                                                                                                                                                                                          </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绩效目标设定符合实际需求，合理可行；项目预期提供的产品、服务、效益或其他目标明确细化，可衡量（10分）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绩效目标设定符合实际需求，合理可行；项目预期提供服务可衡量（10分）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资金管理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资金分配、资金使用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资金分配管理科学合理、规范有序；体现突出重点或公平性，符合财政资金改革方向；资金使用规范（7分）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资金使用规范，分配合理（7分）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执行规范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管理制度健全，管理过程科学规范（3分）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管理过程科学规范（3分）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完成数量、完成质量、完成时效、完成成本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完成任务数、符合目标设定的验收标准，按时完成（20分）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按时高质量完成目标绩效（20分）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经济效益</w:t>
            </w:r>
          </w:p>
          <w:p>
            <w:pPr>
              <w:widowControl/>
              <w:jc w:val="center"/>
              <w:textAlignment w:val="center"/>
              <w:rPr>
                <w:rFonts w:ascii="宋体" w:hAnsi="宋体" w:cs="宋体"/>
                <w:color w:val="000000"/>
                <w:sz w:val="24"/>
              </w:rPr>
            </w:pPr>
            <w:r>
              <w:rPr>
                <w:rFonts w:hint="eastAsia" w:ascii="宋体" w:hAnsi="宋体" w:cs="宋体"/>
                <w:color w:val="000000"/>
                <w:sz w:val="24"/>
              </w:rPr>
              <w:t>社会效益</w:t>
            </w:r>
          </w:p>
          <w:p>
            <w:pPr>
              <w:widowControl/>
              <w:jc w:val="center"/>
              <w:textAlignment w:val="center"/>
              <w:rPr>
                <w:rFonts w:ascii="宋体" w:hAnsi="宋体" w:cs="宋体"/>
                <w:color w:val="000000"/>
                <w:sz w:val="24"/>
              </w:rPr>
            </w:pPr>
            <w:r>
              <w:rPr>
                <w:rFonts w:hint="eastAsia" w:ascii="宋体" w:hAnsi="宋体" w:cs="宋体"/>
                <w:color w:val="000000"/>
                <w:sz w:val="24"/>
              </w:rPr>
              <w:t>生态效益</w:t>
            </w:r>
          </w:p>
          <w:p>
            <w:pPr>
              <w:widowControl/>
              <w:jc w:val="center"/>
              <w:textAlignment w:val="center"/>
              <w:rPr>
                <w:rFonts w:ascii="宋体" w:hAnsi="宋体" w:cs="宋体"/>
                <w:color w:val="000000"/>
                <w:sz w:val="24"/>
              </w:rPr>
            </w:pPr>
            <w:r>
              <w:rPr>
                <w:rFonts w:hint="eastAsia" w:ascii="宋体" w:hAnsi="宋体" w:cs="宋体"/>
                <w:color w:val="000000"/>
                <w:sz w:val="24"/>
              </w:rPr>
              <w:t>使用率效益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反映相关产出对经济社会发展带来的影响和效果；反映相关产出对社会发展带来的影响和效果；反映相关产出对自然环境带来的影响和效果；反映使用率指标（40分）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项目经济社会生态及使用率效益良好（35分）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服务对象对相关产出及影响的认可度（10分）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服务对象满意（10分）</w:t>
            </w:r>
          </w:p>
        </w:tc>
      </w:tr>
    </w:tbl>
    <w:p>
      <w:pPr>
        <w:pStyle w:val="2"/>
      </w:pPr>
    </w:p>
    <w:p/>
    <w:tbl>
      <w:tblPr>
        <w:tblStyle w:val="13"/>
        <w:tblpPr w:leftFromText="180" w:rightFromText="180" w:vertAnchor="text" w:horzAnchor="page" w:tblpXSpec="center" w:tblpY="423"/>
        <w:tblOverlap w:val="never"/>
        <w:tblW w:w="9960" w:type="dxa"/>
        <w:jc w:val="center"/>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val="en-US" w:eastAsia="zh-CN"/>
              </w:rPr>
              <w:t>法律援助</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乐山市金口河区</w:t>
            </w:r>
            <w:r>
              <w:rPr>
                <w:rFonts w:hint="eastAsia" w:ascii="宋体" w:hAnsi="宋体" w:cs="宋体"/>
                <w:color w:val="000000"/>
                <w:kern w:val="0"/>
                <w:sz w:val="24"/>
                <w:lang w:eastAsia="zh-CN"/>
              </w:rPr>
              <w:t>司法局</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1.69</w:t>
            </w:r>
          </w:p>
        </w:tc>
      </w:tr>
      <w:tr>
        <w:tblPrEx>
          <w:tblLayout w:type="fixed"/>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1.69</w:t>
            </w:r>
          </w:p>
        </w:tc>
      </w:tr>
      <w:tr>
        <w:tblPrEx>
          <w:tblLayout w:type="fixed"/>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保障法律援助工作的正常进行</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lang w:eastAsia="zh-CN"/>
              </w:rPr>
              <w:t>保障法律援助工作的正常进行</w:t>
            </w:r>
          </w:p>
        </w:tc>
      </w:tr>
      <w:tr>
        <w:tblPrEx>
          <w:tblLayout w:type="fixed"/>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科学决策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必要性、可行性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符合党中央、国务院和省委、省政府决策部署；符合当前经济社会发展需要，政策和实际需求的吻合程度分析。可行性论证充分，规划、管理办法、指导意见等制度是否健全完善（10分）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项目经过充分论证，符合实际需求（10分）</w:t>
            </w:r>
          </w:p>
        </w:tc>
      </w:tr>
      <w:tr>
        <w:tblPrEx>
          <w:tblLayout w:type="fixed"/>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明确性、合理性                                                                                                                                                                                                                                                                                                                                                                                                                                                                                                                                                                                                                                                                                                                                                                                                                                                                                                                                                                                                                                                                                                                                                                                                                                                                                                                                                                                                                                                                                                                                                                                                                                                                                                                                                                                                                                                                                                                                                                                                                                                                                                                                          </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绩效目标设定符合实际需求，合理可行；项目预期提供的产品、服务、效益或其他目标明确细化，可衡量（10分）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绩效目标设定符合实际需求，合理可行；项目预期提供服务可衡量（10分）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资金管理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资金分配、资金使用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资金分配管理科学合理、规范有序；体现突出重点或公平性，符合财政资金改革方向；资金使用规范（7分）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资金使用规范，分配合理（7分）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执行规范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管理制度健全，管理过程科学规范（3分）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管理过程科学规范（3分）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完成数量、完成质量、完成时效、完成成本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完成任务数、符合目标设定的验收标准，按时完成（20分）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按时高质量完成目标绩效（20分）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经济效益</w:t>
            </w:r>
          </w:p>
          <w:p>
            <w:pPr>
              <w:widowControl/>
              <w:jc w:val="center"/>
              <w:textAlignment w:val="center"/>
              <w:rPr>
                <w:rFonts w:ascii="宋体" w:hAnsi="宋体" w:cs="宋体"/>
                <w:color w:val="000000"/>
                <w:sz w:val="24"/>
              </w:rPr>
            </w:pPr>
            <w:r>
              <w:rPr>
                <w:rFonts w:hint="eastAsia" w:ascii="宋体" w:hAnsi="宋体" w:cs="宋体"/>
                <w:color w:val="000000"/>
                <w:sz w:val="24"/>
              </w:rPr>
              <w:t>社会效益</w:t>
            </w:r>
          </w:p>
          <w:p>
            <w:pPr>
              <w:widowControl/>
              <w:jc w:val="center"/>
              <w:textAlignment w:val="center"/>
              <w:rPr>
                <w:rFonts w:ascii="宋体" w:hAnsi="宋体" w:cs="宋体"/>
                <w:color w:val="000000"/>
                <w:sz w:val="24"/>
              </w:rPr>
            </w:pPr>
            <w:r>
              <w:rPr>
                <w:rFonts w:hint="eastAsia" w:ascii="宋体" w:hAnsi="宋体" w:cs="宋体"/>
                <w:color w:val="000000"/>
                <w:sz w:val="24"/>
              </w:rPr>
              <w:t>生态效益</w:t>
            </w:r>
          </w:p>
          <w:p>
            <w:pPr>
              <w:widowControl/>
              <w:jc w:val="center"/>
              <w:textAlignment w:val="center"/>
              <w:rPr>
                <w:rFonts w:ascii="宋体" w:hAnsi="宋体" w:cs="宋体"/>
                <w:color w:val="000000"/>
                <w:sz w:val="24"/>
              </w:rPr>
            </w:pPr>
            <w:r>
              <w:rPr>
                <w:rFonts w:hint="eastAsia" w:ascii="宋体" w:hAnsi="宋体" w:cs="宋体"/>
                <w:color w:val="000000"/>
                <w:sz w:val="24"/>
              </w:rPr>
              <w:t>使用率效益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反映相关产出对经济社会发展带来的影响和效果；反映相关产出对社会发展带来的影响和效果；反映相关产出对自然环境带来的影响和效果；反映使用率指标（40分）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项目经济社会生态及使用率效益良好（35分）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服务对象对相关产出及影响的认可度（10分）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服务对象满意（10分）</w:t>
            </w:r>
          </w:p>
        </w:tc>
      </w:tr>
    </w:tbl>
    <w:p>
      <w:pPr>
        <w:pStyle w:val="2"/>
      </w:pPr>
    </w:p>
    <w:p/>
    <w:tbl>
      <w:tblPr>
        <w:tblStyle w:val="13"/>
        <w:tblpPr w:leftFromText="180" w:rightFromText="180" w:vertAnchor="text" w:horzAnchor="page" w:tblpXSpec="center" w:tblpY="423"/>
        <w:tblOverlap w:val="never"/>
        <w:tblW w:w="9960" w:type="dxa"/>
        <w:jc w:val="center"/>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Layout w:type="fixed"/>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社区矫正</w:t>
            </w:r>
          </w:p>
        </w:tc>
      </w:tr>
      <w:tr>
        <w:tblPrEx>
          <w:tblLayout w:type="fixed"/>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乐山市金口河区</w:t>
            </w:r>
            <w:r>
              <w:rPr>
                <w:rFonts w:hint="eastAsia" w:ascii="宋体" w:hAnsi="宋体" w:cs="宋体"/>
                <w:color w:val="000000"/>
                <w:kern w:val="0"/>
                <w:sz w:val="24"/>
                <w:lang w:eastAsia="zh-CN"/>
              </w:rPr>
              <w:t>司法局</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6.86</w:t>
            </w:r>
          </w:p>
        </w:tc>
      </w:tr>
      <w:tr>
        <w:tblPrEx>
          <w:tblLayout w:type="fixed"/>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14</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6.86</w:t>
            </w:r>
          </w:p>
        </w:tc>
      </w:tr>
      <w:tr>
        <w:tblPrEx>
          <w:tblLayout w:type="fixed"/>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Layout w:type="fixed"/>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Layout w:type="fixed"/>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w:t>
            </w:r>
            <w:r>
              <w:rPr>
                <w:rFonts w:hint="eastAsia" w:ascii="宋体" w:hAnsi="宋体" w:cs="宋体"/>
                <w:color w:val="000000"/>
                <w:sz w:val="24"/>
                <w:lang w:eastAsia="zh-CN"/>
              </w:rPr>
              <w:t>社区矫正工作的顺利</w:t>
            </w:r>
            <w:r>
              <w:rPr>
                <w:rFonts w:hint="eastAsia" w:ascii="宋体" w:hAnsi="宋体" w:cs="宋体"/>
                <w:color w:val="000000"/>
                <w:sz w:val="24"/>
                <w:lang w:val="en-US" w:eastAsia="zh-CN"/>
              </w:rPr>
              <w:t>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w:t>
            </w:r>
            <w:r>
              <w:rPr>
                <w:rFonts w:hint="eastAsia" w:ascii="宋体" w:hAnsi="宋体" w:cs="宋体"/>
                <w:color w:val="000000"/>
                <w:sz w:val="24"/>
                <w:lang w:eastAsia="zh-CN"/>
              </w:rPr>
              <w:t>社区矫正工作的顺利</w:t>
            </w:r>
            <w:r>
              <w:rPr>
                <w:rFonts w:hint="eastAsia" w:ascii="宋体" w:hAnsi="宋体" w:cs="宋体"/>
                <w:color w:val="000000"/>
                <w:sz w:val="24"/>
                <w:lang w:val="en-US" w:eastAsia="zh-CN"/>
              </w:rPr>
              <w:t>开展</w:t>
            </w:r>
          </w:p>
        </w:tc>
      </w:tr>
      <w:tr>
        <w:tblPrEx>
          <w:tblLayout w:type="fixed"/>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Layout w:type="fixed"/>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科学决策             </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必要性、可行性</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符合党中央、国务院和省委、省政府决策部署；符合当前经济社会发展需要，政策和实际需求的吻合程度分析。可行性论证充分，规划、管理办法、指导意见等制度是否健全完善（10分）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项目经过充分论证，符合实际需求（10分）</w:t>
            </w:r>
          </w:p>
        </w:tc>
      </w:tr>
      <w:tr>
        <w:tblPrEx>
          <w:tblLayout w:type="fixed"/>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项目决策</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 xml:space="preserve">明确性、合理性                                                                                                                                                                                                                                                                                                                                                                                                                                                                                                                                                                                                                                                                                                                                                                                                                                                                                                                                                                                                                                                                                                                                                                                                                                                                                                                                                                                                                                                                                                                                                                                                                                                                                                                                                                                                                                                                                                                                                                                                                                                                                                                                          </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绩效目标设定符合实际需求，合理可行；项目预期提供的产品、服务、效益或其他目标明确细化，可衡量（10分）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绩效目标设定符合实际需求，合理可行；项目预期提供服务可衡量（10分）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资金管理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资金分配、资金使用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资金分配管理科学合理、规范有序；体现突出重点或公平性，符合财政资金改革方向；资金使用规范（7分）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资金使用规范，分配合理（7分）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项目管理</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项目执行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执行规范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管理制度健全，管理过程科学规范（3分）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管理过程科学规范（3分）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完成数量、完成质量、完成时效、完成成本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完成任务数、符合目标设定的验收标准，按时完成（20分）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按时高质量完成目标绩效（20分）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经济效益</w:t>
            </w:r>
          </w:p>
          <w:p>
            <w:pPr>
              <w:widowControl/>
              <w:jc w:val="center"/>
              <w:textAlignment w:val="center"/>
              <w:rPr>
                <w:rFonts w:ascii="宋体" w:hAnsi="宋体" w:cs="宋体"/>
                <w:color w:val="000000"/>
                <w:sz w:val="24"/>
              </w:rPr>
            </w:pPr>
            <w:r>
              <w:rPr>
                <w:rFonts w:hint="eastAsia" w:ascii="宋体" w:hAnsi="宋体" w:cs="宋体"/>
                <w:color w:val="000000"/>
                <w:sz w:val="24"/>
              </w:rPr>
              <w:t>社会效益</w:t>
            </w:r>
          </w:p>
          <w:p>
            <w:pPr>
              <w:widowControl/>
              <w:jc w:val="center"/>
              <w:textAlignment w:val="center"/>
              <w:rPr>
                <w:rFonts w:ascii="宋体" w:hAnsi="宋体" w:cs="宋体"/>
                <w:color w:val="000000"/>
                <w:sz w:val="24"/>
              </w:rPr>
            </w:pPr>
            <w:r>
              <w:rPr>
                <w:rFonts w:hint="eastAsia" w:ascii="宋体" w:hAnsi="宋体" w:cs="宋体"/>
                <w:color w:val="000000"/>
                <w:sz w:val="24"/>
              </w:rPr>
              <w:t>生态效益</w:t>
            </w:r>
          </w:p>
          <w:p>
            <w:pPr>
              <w:widowControl/>
              <w:jc w:val="center"/>
              <w:textAlignment w:val="center"/>
              <w:rPr>
                <w:rFonts w:ascii="宋体" w:hAnsi="宋体" w:cs="宋体"/>
                <w:color w:val="000000"/>
                <w:sz w:val="24"/>
              </w:rPr>
            </w:pPr>
            <w:r>
              <w:rPr>
                <w:rFonts w:hint="eastAsia" w:ascii="宋体" w:hAnsi="宋体" w:cs="宋体"/>
                <w:color w:val="000000"/>
                <w:sz w:val="24"/>
              </w:rPr>
              <w:t>使用率效益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反映相关产出对经济社会发展带来的影响和效果；反映相关产出对社会发展带来的影响和效果；反映相关产出对自然环境带来的影响和效果；反映使用率指标（40分）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项目经济社会生态及使用率效益良好（35分）</w:t>
            </w:r>
          </w:p>
        </w:tc>
      </w:tr>
      <w:tr>
        <w:tblPrEx>
          <w:tblLayout w:type="fixed"/>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项目绩效</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项目效益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服务对象对相关产出及影响的认可度（10分）</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服务对象满意（10分）</w:t>
            </w:r>
          </w:p>
        </w:tc>
      </w:tr>
    </w:tbl>
    <w:p>
      <w:pPr>
        <w:pStyle w:val="2"/>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w:t>
      </w:r>
      <w:r>
        <w:rPr>
          <w:rFonts w:hint="eastAsia" w:ascii="仿宋_GB2312" w:hAnsi="仿宋_GB2312" w:eastAsia="仿宋_GB2312" w:cs="仿宋_GB2312"/>
          <w:sz w:val="32"/>
          <w:szCs w:val="32"/>
          <w:lang w:val="en-US" w:eastAsia="zh-CN"/>
        </w:rPr>
        <w:t>乐山市金口河区司法局</w:t>
      </w:r>
      <w:r>
        <w:rPr>
          <w:rFonts w:hint="eastAsia" w:ascii="仿宋_GB2312" w:hAnsi="仿宋_GB2312" w:eastAsia="仿宋_GB2312" w:cs="仿宋_GB2312"/>
          <w:sz w:val="32"/>
          <w:szCs w:val="32"/>
        </w:rPr>
        <w:t>部门2019年部门整体支出绩效评价报告》见附件（附件1）。</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4"/>
        </w:numPr>
        <w:spacing w:line="600" w:lineRule="exact"/>
        <w:ind w:firstLine="660" w:firstLineChars="150"/>
        <w:jc w:val="center"/>
        <w:outlineLvl w:val="0"/>
        <w:rPr>
          <w:rStyle w:val="25"/>
          <w:rFonts w:ascii="黑体" w:hAnsi="黑体" w:eastAsia="黑体"/>
          <w:b w:val="0"/>
        </w:rPr>
      </w:pPr>
      <w:bookmarkStart w:id="55" w:name="_Toc15377225"/>
      <w:bookmarkStart w:id="56" w:name="_Toc15396613"/>
      <w:r>
        <w:rPr>
          <w:rFonts w:hint="eastAsia" w:ascii="黑体" w:hAnsi="黑体" w:eastAsia="黑体"/>
          <w:color w:val="000000"/>
          <w:sz w:val="44"/>
          <w:szCs w:val="44"/>
        </w:rPr>
        <w:t>名</w:t>
      </w:r>
      <w:r>
        <w:rPr>
          <w:rStyle w:val="25"/>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w:t>
      </w:r>
      <w:r>
        <w:rPr>
          <w:rFonts w:hint="eastAsia" w:ascii="仿宋" w:hAnsi="仿宋" w:eastAsia="仿宋"/>
          <w:b/>
          <w:color w:val="000000"/>
          <w:sz w:val="32"/>
          <w:szCs w:val="32"/>
        </w:rPr>
        <w:t>9年政府收支分类科目》增减内容。）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3"/>
        <w:spacing w:line="560" w:lineRule="exact"/>
        <w:ind w:firstLine="640" w:firstLineChars="200"/>
        <w:rPr>
          <w:rFonts w:ascii="仿宋_GB2312" w:eastAsia="仿宋_GB2312" w:cs="黑体"/>
          <w:sz w:val="32"/>
          <w:szCs w:val="32"/>
        </w:rPr>
      </w:pP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5"/>
          <w:rFonts w:ascii="黑体" w:hAnsi="黑体" w:eastAsia="黑体"/>
          <w:b w:val="0"/>
        </w:rPr>
      </w:pPr>
      <w:bookmarkStart w:id="57" w:name="_Toc15377226"/>
      <w:r>
        <w:rPr>
          <w:rFonts w:ascii="宋体"/>
          <w:b/>
          <w:color w:val="000000"/>
          <w:sz w:val="44"/>
          <w:szCs w:val="44"/>
        </w:rPr>
        <w:br w:type="page"/>
      </w:r>
      <w:bookmarkStart w:id="58" w:name="_Toc15396614"/>
      <w:r>
        <w:rPr>
          <w:rFonts w:hint="eastAsia" w:ascii="黑体" w:hAnsi="黑体" w:eastAsia="黑体"/>
          <w:color w:val="000000"/>
          <w:sz w:val="44"/>
          <w:szCs w:val="44"/>
        </w:rPr>
        <w:t>第</w:t>
      </w:r>
      <w:r>
        <w:rPr>
          <w:rStyle w:val="25"/>
          <w:rFonts w:hint="eastAsia" w:ascii="黑体" w:hAnsi="黑体" w:eastAsia="黑体"/>
          <w:b w:val="0"/>
        </w:rPr>
        <w:t>四部分 附件</w:t>
      </w:r>
      <w:bookmarkEnd w:id="58"/>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lang w:val="en-US" w:eastAsia="zh-CN"/>
        </w:rPr>
        <w:t>乐山市金口河区司法局</w:t>
      </w:r>
      <w:r>
        <w:rPr>
          <w:rFonts w:hint="eastAsia" w:ascii="方正小标宋简体" w:hAnsi="宋体" w:eastAsia="方正小标宋简体"/>
          <w:color w:val="000000"/>
          <w:kern w:val="0"/>
          <w:sz w:val="40"/>
          <w:szCs w:val="44"/>
          <w:lang w:val="zh-CN"/>
        </w:rPr>
        <w:t>部门</w:t>
      </w: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lang w:val="zh-CN"/>
        </w:rPr>
      </w:pPr>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pStyle w:val="2"/>
        <w:ind w:left="0" w:leftChars="0" w:firstLine="640" w:firstLineChars="200"/>
        <w:rPr>
          <w:lang w:val="zh-CN"/>
        </w:rPr>
      </w:pPr>
      <w:r>
        <w:rPr>
          <w:rFonts w:hint="eastAsia" w:ascii="仿宋_GB2312" w:hAnsi="仿宋_GB2312" w:eastAsia="仿宋_GB2312" w:cs="仿宋_GB2312"/>
          <w:sz w:val="32"/>
          <w:szCs w:val="32"/>
        </w:rPr>
        <w:t>金口河区司法局设置于1983年11月机构改革。1987年区编委以【1987】01号文件为区司法局设置中层机构和业务指导机构，进一步明确了工作关系及职能作用。2003年9月，区编委以金编委【2003】7号文，批准成立金口河区司法局法律援助中心。2</w:t>
      </w:r>
      <w:r>
        <w:rPr>
          <w:rFonts w:hint="eastAsia" w:ascii="仿宋_GB2312" w:hAnsi="仿宋_GB2312" w:eastAsia="仿宋_GB2312" w:cs="仿宋_GB2312"/>
          <w:sz w:val="32"/>
          <w:szCs w:val="32"/>
          <w:lang w:val="en-US" w:eastAsia="zh-CN"/>
        </w:rPr>
        <w:t>018年</w:t>
      </w:r>
      <w:r>
        <w:rPr>
          <w:rFonts w:hint="eastAsia" w:ascii="仿宋_GB2312" w:hAnsi="仿宋_GB2312" w:eastAsia="仿宋_GB2312" w:cs="仿宋_GB2312"/>
          <w:sz w:val="32"/>
          <w:szCs w:val="32"/>
        </w:rPr>
        <w:t>机构改革，将我局内设机构定为办公室</w:t>
      </w:r>
      <w:r>
        <w:rPr>
          <w:rFonts w:hint="eastAsia" w:ascii="仿宋_GB2312" w:hAnsi="仿宋_GB2312" w:eastAsia="仿宋_GB2312" w:cs="仿宋_GB2312"/>
          <w:sz w:val="32"/>
          <w:szCs w:val="32"/>
          <w:lang w:eastAsia="zh-CN"/>
        </w:rPr>
        <w:t>、依法治区秘书</w:t>
      </w:r>
      <w:r>
        <w:rPr>
          <w:rFonts w:hint="eastAsia" w:ascii="仿宋_GB2312" w:hAnsi="仿宋_GB2312" w:eastAsia="仿宋_GB2312" w:cs="仿宋_GB2312"/>
          <w:sz w:val="32"/>
          <w:szCs w:val="32"/>
        </w:rPr>
        <w:t>股、</w:t>
      </w:r>
      <w:r>
        <w:rPr>
          <w:rFonts w:hint="eastAsia" w:ascii="仿宋_GB2312" w:hAnsi="仿宋_GB2312" w:eastAsia="仿宋_GB2312" w:cs="仿宋_GB2312"/>
          <w:sz w:val="32"/>
          <w:szCs w:val="32"/>
          <w:lang w:eastAsia="zh-CN"/>
        </w:rPr>
        <w:t>公共法律服务</w:t>
      </w:r>
      <w:r>
        <w:rPr>
          <w:rFonts w:hint="eastAsia" w:ascii="仿宋_GB2312" w:hAnsi="仿宋_GB2312" w:eastAsia="仿宋_GB2312" w:cs="仿宋_GB2312"/>
          <w:sz w:val="32"/>
          <w:szCs w:val="32"/>
        </w:rPr>
        <w:t>股、</w:t>
      </w:r>
      <w:r>
        <w:rPr>
          <w:rFonts w:hint="eastAsia" w:ascii="仿宋_GB2312" w:hAnsi="仿宋_GB2312" w:eastAsia="仿宋_GB2312" w:cs="仿宋_GB2312"/>
          <w:sz w:val="32"/>
          <w:szCs w:val="32"/>
          <w:lang w:eastAsia="zh-CN"/>
        </w:rPr>
        <w:t>社区矫正</w:t>
      </w:r>
      <w:r>
        <w:rPr>
          <w:rFonts w:hint="eastAsia" w:ascii="仿宋_GB2312" w:hAnsi="仿宋_GB2312" w:cs="仿宋_GB2312"/>
          <w:sz w:val="32"/>
          <w:szCs w:val="32"/>
          <w:lang w:val="en-US" w:eastAsia="zh-CN"/>
        </w:rPr>
        <w:t>管理执法</w:t>
      </w:r>
      <w:r>
        <w:rPr>
          <w:rFonts w:hint="eastAsia" w:ascii="仿宋_GB2312" w:hAnsi="仿宋_GB2312" w:eastAsia="仿宋_GB2312" w:cs="仿宋_GB2312"/>
          <w:sz w:val="32"/>
          <w:szCs w:val="32"/>
          <w:lang w:eastAsia="zh-CN"/>
        </w:rPr>
        <w:t>大队</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下属参公事业</w:t>
      </w:r>
      <w:r>
        <w:rPr>
          <w:rFonts w:hint="eastAsia" w:ascii="仿宋_GB2312" w:hAnsi="仿宋_GB2312" w:eastAsia="仿宋_GB2312" w:cs="仿宋_GB2312"/>
          <w:sz w:val="32"/>
          <w:szCs w:val="32"/>
        </w:rPr>
        <w:t>单位</w:t>
      </w:r>
      <w:r>
        <w:rPr>
          <w:rFonts w:hint="eastAsia" w:ascii="仿宋_GB2312" w:hAnsi="仿宋_GB2312" w:cs="仿宋_GB2312"/>
          <w:sz w:val="32"/>
          <w:szCs w:val="32"/>
          <w:lang w:val="en-US" w:eastAsia="zh-CN"/>
        </w:rPr>
        <w:t>乐山市金口河区法律援助中心</w:t>
      </w:r>
      <w:r>
        <w:rPr>
          <w:rFonts w:hint="eastAsia" w:ascii="仿宋_GB2312" w:hAnsi="仿宋_GB2312" w:eastAsia="仿宋_GB2312" w:cs="仿宋_GB2312"/>
          <w:sz w:val="32"/>
          <w:szCs w:val="32"/>
        </w:rPr>
        <w:t>。</w:t>
      </w:r>
    </w:p>
    <w:p>
      <w:pPr>
        <w:widowControl/>
        <w:numPr>
          <w:ilvl w:val="0"/>
          <w:numId w:val="5"/>
        </w:numPr>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机构职能。</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jc w:val="both"/>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1、承担依法治区重大问题的政策研究，协调有关方面提出全面依法治区规划建议，负责有关重大决策部署督察工作。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2、负责区政府规范性文件、重大行政决策发布前的合法性审查。承办区政府规范性文件的报送备案工作。负责各乡（镇）政府和各部门规范性文件报送区政府的备案审查工作。组织开展区政府规范性文件清理。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承担统筹推进法治政府建设的责任。指导监督各乡（镇）政府和各部门依法行政工作。负责综合协调、监督检查行政执法，承担推进行政执法体制改革有关工作，推进严格规范公正文明执法。指导监督全区行政复议、行政应诉和行政赔偿工作，承办向区政府申请的行政复议、行政赔偿案件，代理区政府行政应诉案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承担统筹规划法治社会建设的责任。负责拟订法治宣传教育规划，组织实施普法宣传工作，组织对外法治宣传。推动人民参与和促进法治建设。指导依法治理和法治创建工作。指导调解工作。负责人民监督员、人民陪审员的选任管理工作。推进司法所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sz w:val="32"/>
          <w:szCs w:val="32"/>
          <w:lang w:val="en-US" w:eastAsia="zh-CN"/>
        </w:rPr>
        <w:t>5、负责全区社</w:t>
      </w:r>
      <w:r>
        <w:rPr>
          <w:rFonts w:hint="eastAsia" w:ascii="仿宋_GB2312" w:hAnsi="仿宋_GB2312" w:eastAsia="仿宋_GB2312" w:cs="仿宋_GB2312"/>
          <w:color w:val="auto"/>
          <w:sz w:val="32"/>
          <w:szCs w:val="32"/>
          <w:lang w:val="en-US" w:eastAsia="zh-CN"/>
        </w:rPr>
        <w:t>区矫正和帮教安置管理工作。指导管理社区矫正工作，指导刑满释放人员帮教安置工作。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6、负责拟订全区公共法律服务体系建设规划并指导实施，统筹和布局全区法律服务资源。指导监督律师、法律援助、公证、仲裁和基层法律服务管理工作。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7、规划、协调、指导法治人才队伍建设相关工作，指导监督本系统队伍建设。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8、负责全区外来企业投诉处理和民营企业法律服务工作。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9、负责职责范围内的安全生产和职业健康、生态环境保护；按照行政审批、综合执法等方面的相关要求，做好有关工作。</w:t>
      </w:r>
    </w:p>
    <w:p>
      <w:pPr>
        <w:pStyle w:val="6"/>
        <w:adjustRightInd w:val="0"/>
        <w:snapToGrid w:val="0"/>
        <w:spacing w:before="93" w:line="600" w:lineRule="exact"/>
        <w:ind w:firstLine="672" w:firstLineChars="210"/>
        <w:outlineLvl w:val="2"/>
        <w:rPr>
          <w:rFonts w:hint="default" w:eastAsia="仿宋_GB2312"/>
          <w:lang w:val="en-US" w:eastAsia="zh-CN"/>
        </w:rPr>
      </w:pPr>
      <w:r>
        <w:rPr>
          <w:rFonts w:hint="eastAsia" w:ascii="仿宋_GB2312" w:hAnsi="仿宋_GB2312" w:eastAsia="仿宋_GB2312" w:cs="仿宋_GB2312"/>
          <w:sz w:val="32"/>
          <w:szCs w:val="32"/>
          <w:lang w:val="en-US" w:eastAsia="zh-CN"/>
        </w:rPr>
        <w:t>10、完成区委、区政府交办的其他任务。</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（三）人员概况。</w:t>
      </w:r>
    </w:p>
    <w:p>
      <w:pPr>
        <w:spacing w:line="600" w:lineRule="exact"/>
        <w:ind w:firstLine="640" w:firstLineChars="200"/>
        <w:rPr>
          <w:lang w:val="zh-CN"/>
        </w:rPr>
      </w:pPr>
      <w:r>
        <w:rPr>
          <w:rFonts w:hint="eastAsia" w:ascii="仿宋_GB2312" w:hAnsi="仿宋_GB2312" w:eastAsia="仿宋_GB2312" w:cs="仿宋_GB2312"/>
          <w:sz w:val="32"/>
          <w:szCs w:val="32"/>
          <w:lang w:eastAsia="zh-CN"/>
        </w:rPr>
        <w:t>金口河区司法局</w:t>
      </w:r>
      <w:r>
        <w:rPr>
          <w:rFonts w:hint="eastAsia" w:ascii="仿宋_GB2312" w:hAnsi="仿宋_GB2312" w:eastAsia="仿宋_GB2312" w:cs="仿宋_GB2312"/>
          <w:sz w:val="32"/>
          <w:szCs w:val="32"/>
        </w:rPr>
        <w:t>现有编制</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个，其中：政法编制</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个，工勤编制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参公</w:t>
      </w:r>
      <w:r>
        <w:rPr>
          <w:rFonts w:hint="eastAsia" w:ascii="仿宋_GB2312" w:hAnsi="仿宋_GB2312" w:eastAsia="仿宋_GB2312" w:cs="仿宋_GB2312"/>
          <w:color w:val="000000"/>
          <w:sz w:val="32"/>
          <w:szCs w:val="32"/>
        </w:rPr>
        <w:t>事业编制3个</w:t>
      </w: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年末财政实际供养人数在职</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人，机关人员</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人，工勤人员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参公</w:t>
      </w:r>
      <w:r>
        <w:rPr>
          <w:rFonts w:hint="eastAsia" w:ascii="仿宋_GB2312" w:hAnsi="仿宋_GB2312" w:eastAsia="仿宋_GB2312" w:cs="仿宋_GB2312"/>
          <w:sz w:val="32"/>
          <w:szCs w:val="32"/>
          <w:lang w:eastAsia="zh-CN"/>
        </w:rPr>
        <w:t>事业人员</w:t>
      </w:r>
      <w:r>
        <w:rPr>
          <w:rFonts w:hint="eastAsia" w:ascii="仿宋_GB2312" w:hAnsi="仿宋_GB2312" w:eastAsia="仿宋_GB2312" w:cs="仿宋_GB2312"/>
          <w:sz w:val="32"/>
          <w:szCs w:val="32"/>
          <w:lang w:val="en-US" w:eastAsia="zh-CN"/>
        </w:rPr>
        <w:t>2人</w:t>
      </w:r>
      <w:r>
        <w:rPr>
          <w:rFonts w:hint="eastAsia" w:ascii="仿宋_GB2312" w:hAnsi="仿宋_GB2312" w:eastAsia="仿宋_GB2312" w:cs="仿宋_GB2312"/>
          <w:sz w:val="32"/>
          <w:szCs w:val="32"/>
        </w:rPr>
        <w:t>。</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spacing w:line="600" w:lineRule="exact"/>
        <w:ind w:firstLine="640" w:firstLineChars="200"/>
        <w:outlineLvl w:val="1"/>
        <w:rPr>
          <w:lang w:val="zh-CN"/>
        </w:rPr>
      </w:pPr>
      <w:r>
        <w:rPr>
          <w:rFonts w:ascii="仿宋" w:hAnsi="仿宋" w:eastAsia="仿宋"/>
          <w:color w:val="000000"/>
          <w:sz w:val="32"/>
          <w:szCs w:val="32"/>
        </w:rPr>
        <w:t>201</w:t>
      </w:r>
      <w:r>
        <w:rPr>
          <w:rFonts w:hint="eastAsia" w:ascii="仿宋" w:hAnsi="仿宋" w:eastAsia="仿宋"/>
          <w:color w:val="000000"/>
          <w:sz w:val="32"/>
          <w:szCs w:val="32"/>
        </w:rPr>
        <w:t>9年本年收入合计</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503.98</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（二）部门财政资金支出情况。</w:t>
      </w:r>
    </w:p>
    <w:p>
      <w:pPr>
        <w:pStyle w:val="2"/>
        <w:ind w:left="0" w:leftChars="0" w:firstLine="0" w:firstLineChars="0"/>
        <w:rPr>
          <w:rFonts w:hint="default" w:eastAsia="仿宋_GB2312"/>
          <w:lang w:val="en-US" w:eastAsia="zh-CN"/>
        </w:rPr>
      </w:pPr>
      <w:r>
        <w:rPr>
          <w:rFonts w:hint="eastAsia" w:ascii="仿宋_GB2312" w:hAnsi="宋体" w:cs="宋体"/>
          <w:color w:val="000000"/>
          <w:kern w:val="0"/>
          <w:sz w:val="32"/>
          <w:szCs w:val="32"/>
          <w:shd w:val="clear" w:color="auto" w:fill="FFFFFF"/>
          <w:lang w:val="en-US" w:eastAsia="zh-CN"/>
        </w:rPr>
        <w:t xml:space="preserve">    </w:t>
      </w:r>
      <w:r>
        <w:rPr>
          <w:rFonts w:ascii="仿宋" w:hAnsi="仿宋" w:eastAsia="仿宋"/>
          <w:color w:val="000000"/>
          <w:sz w:val="32"/>
          <w:szCs w:val="32"/>
        </w:rPr>
        <w:t>201</w:t>
      </w:r>
      <w:r>
        <w:rPr>
          <w:rFonts w:hint="eastAsia" w:ascii="仿宋" w:hAnsi="仿宋" w:eastAsia="仿宋"/>
          <w:color w:val="000000"/>
          <w:sz w:val="32"/>
          <w:szCs w:val="32"/>
        </w:rPr>
        <w:t>9年一般公共预算财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themeColor="text1"/>
          <w:sz w:val="32"/>
          <w:szCs w:val="32"/>
          <w:lang w:val="en-US" w:eastAsia="zh-CN"/>
          <w14:textFill>
            <w14:solidFill>
              <w14:schemeClr w14:val="tx1"/>
            </w14:solidFill>
          </w14:textFill>
        </w:rPr>
        <w:t>503.98</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w:t>
      </w:r>
      <w:r>
        <w:rPr>
          <w:rFonts w:hint="eastAsia" w:ascii="仿宋" w:hAnsi="仿宋" w:eastAsia="仿宋"/>
          <w:b/>
          <w:bCs w:val="0"/>
          <w:color w:val="000000" w:themeColor="text1"/>
          <w:sz w:val="32"/>
          <w:szCs w:val="32"/>
          <w14:textFill>
            <w14:solidFill>
              <w14:schemeClr w14:val="tx1"/>
            </w14:solidFill>
          </w14:textFill>
        </w:rPr>
        <w:t>务支出</w:t>
      </w:r>
      <w:r>
        <w:rPr>
          <w:rFonts w:hint="eastAsia" w:ascii="仿宋" w:hAnsi="仿宋" w:eastAsia="仿宋"/>
          <w:color w:val="000000" w:themeColor="text1"/>
          <w:sz w:val="32"/>
          <w:szCs w:val="32"/>
          <w:lang w:val="en-US" w:eastAsia="zh-CN"/>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_GB2312" w:hAnsi="仿宋_GB2312" w:eastAsia="仿宋_GB2312" w:cs="仿宋_GB2312"/>
          <w:b/>
          <w:color w:val="000000"/>
          <w:sz w:val="32"/>
          <w:szCs w:val="32"/>
          <w:lang w:eastAsia="zh-CN"/>
        </w:rPr>
        <w:t>公共安全支出</w:t>
      </w:r>
      <w:r>
        <w:rPr>
          <w:rFonts w:hint="eastAsia" w:ascii="仿宋_GB2312" w:hAnsi="仿宋_GB2312" w:eastAsia="仿宋_GB2312" w:cs="仿宋_GB2312"/>
          <w:b/>
          <w:color w:val="000000"/>
          <w:sz w:val="32"/>
          <w:szCs w:val="32"/>
        </w:rPr>
        <w:t>支出</w:t>
      </w:r>
      <w:r>
        <w:rPr>
          <w:rFonts w:hint="eastAsia" w:ascii="仿宋_GB2312" w:hAnsi="仿宋_GB2312" w:eastAsia="仿宋_GB2312" w:cs="仿宋_GB2312"/>
          <w:b w:val="0"/>
          <w:bCs/>
          <w:color w:val="000000"/>
          <w:sz w:val="32"/>
          <w:szCs w:val="32"/>
          <w:lang w:val="en-US" w:eastAsia="zh-CN"/>
        </w:rPr>
        <w:t>338.35</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67.13</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rPr>
        <w:t>社会保障和就业</w:t>
      </w:r>
      <w:r>
        <w:rPr>
          <w:rFonts w:hint="eastAsia" w:ascii="仿宋_GB2312" w:hAnsi="仿宋_GB2312" w:eastAsia="仿宋_GB2312" w:cs="仿宋_GB2312"/>
          <w:b/>
          <w:color w:val="000000"/>
          <w:sz w:val="32"/>
          <w:szCs w:val="32"/>
          <w:lang w:val="en-US" w:eastAsia="zh-CN"/>
        </w:rPr>
        <w:t>支出</w:t>
      </w:r>
      <w:r>
        <w:rPr>
          <w:rFonts w:hint="eastAsia" w:ascii="仿宋_GB2312" w:hAnsi="仿宋_GB2312" w:eastAsia="仿宋_GB2312" w:cs="仿宋_GB2312"/>
          <w:color w:val="000000"/>
          <w:sz w:val="32"/>
          <w:szCs w:val="32"/>
          <w:lang w:val="en-US" w:eastAsia="zh-CN"/>
        </w:rPr>
        <w:t>46.03</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9.1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lang w:val="en-US" w:eastAsia="zh-CN"/>
        </w:rPr>
        <w:t>卫生健康</w:t>
      </w:r>
      <w:r>
        <w:rPr>
          <w:rFonts w:hint="eastAsia" w:ascii="仿宋_GB2312" w:hAnsi="仿宋_GB2312" w:eastAsia="仿宋_GB2312" w:cs="仿宋_GB2312"/>
          <w:b/>
          <w:color w:val="000000"/>
          <w:sz w:val="32"/>
          <w:szCs w:val="32"/>
          <w:lang w:eastAsia="zh-CN"/>
        </w:rPr>
        <w:t>支出</w:t>
      </w:r>
      <w:r>
        <w:rPr>
          <w:rFonts w:hint="eastAsia" w:ascii="仿宋_GB2312" w:hAnsi="仿宋_GB2312" w:eastAsia="仿宋_GB2312" w:cs="仿宋_GB2312"/>
          <w:color w:val="000000"/>
          <w:sz w:val="32"/>
          <w:szCs w:val="32"/>
          <w:lang w:val="en-US" w:eastAsia="zh-CN"/>
        </w:rPr>
        <w:t>8.43</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1.7</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color w:val="000000"/>
          <w:sz w:val="32"/>
          <w:szCs w:val="32"/>
          <w:lang w:eastAsia="zh-CN"/>
        </w:rPr>
        <w:t>农林水支出</w:t>
      </w:r>
      <w:r>
        <w:rPr>
          <w:rFonts w:hint="eastAsia" w:ascii="仿宋_GB2312" w:hAnsi="仿宋_GB2312" w:eastAsia="仿宋_GB2312" w:cs="仿宋_GB2312"/>
          <w:b w:val="0"/>
          <w:bCs/>
          <w:color w:val="000000"/>
          <w:sz w:val="32"/>
          <w:szCs w:val="32"/>
          <w:lang w:val="en-US" w:eastAsia="zh-CN"/>
        </w:rPr>
        <w:t>2.25万元，占0.4%；</w:t>
      </w:r>
      <w:r>
        <w:rPr>
          <w:rFonts w:hint="eastAsia" w:ascii="仿宋_GB2312" w:hAnsi="仿宋_GB2312" w:eastAsia="仿宋_GB2312" w:cs="仿宋_GB2312"/>
          <w:b/>
          <w:color w:val="000000"/>
          <w:sz w:val="32"/>
          <w:szCs w:val="32"/>
          <w:lang w:eastAsia="zh-CN"/>
        </w:rPr>
        <w:t>住房保障支出</w:t>
      </w:r>
      <w:r>
        <w:rPr>
          <w:rFonts w:hint="eastAsia" w:ascii="仿宋_GB2312" w:hAnsi="仿宋_GB2312" w:eastAsia="仿宋_GB2312" w:cs="仿宋_GB2312"/>
          <w:color w:val="000000"/>
          <w:sz w:val="32"/>
          <w:szCs w:val="32"/>
          <w:lang w:val="en-US" w:eastAsia="zh-CN"/>
        </w:rPr>
        <w:t>29.94</w:t>
      </w:r>
      <w:r>
        <w:rPr>
          <w:rFonts w:hint="eastAsia" w:ascii="仿宋_GB2312" w:hAnsi="仿宋_GB2312" w:eastAsia="仿宋_GB2312" w:cs="仿宋_GB2312"/>
          <w:color w:val="000000"/>
          <w:sz w:val="32"/>
          <w:szCs w:val="32"/>
        </w:rPr>
        <w:t>万元，占</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bCs w:val="0"/>
          <w:color w:val="000000"/>
          <w:sz w:val="32"/>
          <w:szCs w:val="32"/>
          <w:lang w:val="en-US" w:eastAsia="zh-CN"/>
        </w:rPr>
        <w:t>年末财政拨款结转和结余</w:t>
      </w:r>
      <w:r>
        <w:rPr>
          <w:rFonts w:hint="eastAsia" w:ascii="仿宋_GB2312" w:hAnsi="仿宋_GB2312" w:eastAsia="仿宋_GB2312" w:cs="仿宋_GB2312"/>
          <w:b w:val="0"/>
          <w:bCs/>
          <w:color w:val="000000"/>
          <w:sz w:val="32"/>
          <w:szCs w:val="32"/>
          <w:lang w:val="en-US" w:eastAsia="zh-CN"/>
        </w:rPr>
        <w:t>77.98万元，占15.47%</w:t>
      </w:r>
      <w:r>
        <w:rPr>
          <w:rFonts w:hint="eastAsia" w:ascii="仿宋_GB2312" w:hAnsi="仿宋_GB2312" w:eastAsia="仿宋_GB2312" w:cs="仿宋_GB2312"/>
          <w:b w:val="0"/>
          <w:bCs/>
          <w:color w:val="000000"/>
          <w:sz w:val="32"/>
          <w:szCs w:val="32"/>
          <w:lang w:eastAsia="zh-CN"/>
        </w:rPr>
        <w:t>。</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三、部门整体预算绩效管理情况</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1、预算编制。</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区财政局部门预算编制通知要求，按时完成部门年初预算编制工作。在编制过程中，认真核实单位实际财政供养人数和单位实有编制情况，正确编制人员经费和公用经费等，做到尽量细化项目资金支出预算范围和科目，及时上报预算股进行审核，对所编制的预算予以调整通过。</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2、认真编制年度决算报表。</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为真实、准确反应单位年度财务收、支情况，根据区财政的要求，认真开展部门年度决算报表编制工作。按照政府收支分类科目和财务报表支出情况编制部门决算，决算收入、支出口径与财政局财政大平台及我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财务账核对无误，报表编制无差错。</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金口河区司法局</w:t>
      </w:r>
      <w:r>
        <w:rPr>
          <w:rFonts w:hint="eastAsia" w:ascii="仿宋_GB2312" w:hAnsi="仿宋_GB2312" w:eastAsia="仿宋_GB2312" w:cs="仿宋_GB2312"/>
          <w:sz w:val="32"/>
          <w:szCs w:val="32"/>
        </w:rPr>
        <w:t>决算总收入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支出均</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503.98</w:t>
      </w:r>
      <w:r>
        <w:rPr>
          <w:rFonts w:hint="eastAsia" w:ascii="仿宋_GB2312" w:hAnsi="仿宋_GB2312" w:eastAsia="仿宋_GB2312" w:cs="仿宋_GB2312"/>
          <w:sz w:val="32"/>
          <w:szCs w:val="32"/>
        </w:rPr>
        <w:t>万元。</w:t>
      </w:r>
    </w:p>
    <w:p>
      <w:pPr>
        <w:pStyle w:val="32"/>
        <w:ind w:firstLine="640"/>
        <w:rPr>
          <w:rFonts w:hint="eastAsia" w:hAnsi="仿宋"/>
        </w:rPr>
      </w:pPr>
      <w:r>
        <w:rPr>
          <w:rFonts w:hint="eastAsia" w:hAnsi="仿宋"/>
          <w:lang w:val="en-US" w:eastAsia="zh-CN"/>
        </w:rPr>
        <w:t>3</w:t>
      </w:r>
      <w:r>
        <w:rPr>
          <w:rFonts w:hint="eastAsia" w:hAnsi="仿宋"/>
        </w:rPr>
        <w:t>、预算执行进度情况。</w:t>
      </w:r>
    </w:p>
    <w:p>
      <w:pPr>
        <w:pStyle w:val="32"/>
        <w:ind w:firstLine="640"/>
        <w:rPr>
          <w:rFonts w:hint="eastAsia" w:hAnsi="仿宋"/>
        </w:rPr>
      </w:pPr>
      <w:r>
        <w:rPr>
          <w:rFonts w:hint="eastAsia" w:hAnsi="仿宋"/>
        </w:rPr>
        <w:t>按照区委、区政府的工作部署，结合</w:t>
      </w:r>
      <w:r>
        <w:rPr>
          <w:rFonts w:hint="eastAsia" w:hAnsi="仿宋"/>
          <w:lang w:eastAsia="zh-CN"/>
        </w:rPr>
        <w:t>区司法局</w:t>
      </w:r>
      <w:r>
        <w:rPr>
          <w:rFonts w:hint="eastAsia" w:hAnsi="仿宋"/>
        </w:rPr>
        <w:t>工作职能，全面执行201</w:t>
      </w:r>
      <w:r>
        <w:rPr>
          <w:rFonts w:hint="eastAsia" w:hAnsi="仿宋"/>
          <w:lang w:val="en-US" w:eastAsia="zh-CN"/>
        </w:rPr>
        <w:t>9</w:t>
      </w:r>
      <w:r>
        <w:rPr>
          <w:rFonts w:hint="eastAsia" w:hAnsi="仿宋"/>
        </w:rPr>
        <w:t>年部门预算。</w:t>
      </w:r>
    </w:p>
    <w:p>
      <w:pPr>
        <w:pStyle w:val="32"/>
        <w:ind w:firstLine="640"/>
        <w:rPr>
          <w:rFonts w:hint="eastAsia" w:hAnsi="仿宋"/>
        </w:rPr>
      </w:pPr>
      <w:r>
        <w:rPr>
          <w:rFonts w:hint="eastAsia" w:hAnsi="仿宋"/>
          <w:lang w:val="en-US" w:eastAsia="zh-CN"/>
        </w:rPr>
        <w:t>4</w:t>
      </w:r>
      <w:r>
        <w:rPr>
          <w:rFonts w:hint="eastAsia" w:hAnsi="仿宋"/>
        </w:rPr>
        <w:t>、中期评估。</w:t>
      </w:r>
    </w:p>
    <w:p>
      <w:pPr>
        <w:pStyle w:val="32"/>
        <w:ind w:firstLine="640"/>
        <w:rPr>
          <w:rFonts w:hint="eastAsia" w:hAnsi="仿宋"/>
        </w:rPr>
      </w:pPr>
      <w:r>
        <w:rPr>
          <w:rFonts w:hint="eastAsia" w:hAnsi="仿宋"/>
        </w:rPr>
        <w:t>根据区财政局的安排部署，我们及时进行了中期评估，通过评估，各项工作有序推进，资金使用随工作进度有序安排，保证了各项工作顺利进行，杜绝了违规违法事件的发生。</w:t>
      </w:r>
    </w:p>
    <w:p>
      <w:pPr>
        <w:numPr>
          <w:ilvl w:val="0"/>
          <w:numId w:val="6"/>
        </w:numPr>
        <w:spacing w:line="600" w:lineRule="exact"/>
        <w:ind w:firstLine="640" w:firstLineChars="200"/>
        <w:rPr>
          <w:rFonts w:hint="eastAsia" w:ascii="仿宋_GB2312" w:hAnsi="仿宋" w:eastAsia="仿宋_GB2312"/>
          <w:kern w:val="2"/>
          <w:sz w:val="32"/>
          <w:szCs w:val="32"/>
          <w:lang w:val="en-US" w:eastAsia="zh-CN" w:bidi="ar-SA"/>
        </w:rPr>
      </w:pPr>
      <w:r>
        <w:rPr>
          <w:rFonts w:hint="eastAsia" w:ascii="仿宋_GB2312" w:hAnsi="仿宋" w:eastAsia="仿宋_GB2312"/>
          <w:kern w:val="2"/>
          <w:sz w:val="32"/>
          <w:szCs w:val="32"/>
          <w:lang w:val="en-US" w:eastAsia="zh-CN" w:bidi="ar-SA"/>
        </w:rPr>
        <w:t>执行进度滞后、结转结余及应返还规模较大原因。2019年执行进度滞后的主要原因是资金支付不及时，而财政年底国库资金紧张，导致很多费用不能及时结账。</w:t>
      </w:r>
    </w:p>
    <w:p>
      <w:pPr>
        <w:pStyle w:val="32"/>
        <w:numPr>
          <w:ilvl w:val="0"/>
          <w:numId w:val="6"/>
        </w:numPr>
        <w:ind w:left="0" w:leftChars="0" w:firstLine="640" w:firstLineChars="200"/>
        <w:rPr>
          <w:rFonts w:hint="eastAsia" w:hAnsi="仿宋"/>
        </w:rPr>
      </w:pPr>
      <w:r>
        <w:rPr>
          <w:rFonts w:hint="eastAsia" w:hAnsi="仿宋"/>
        </w:rPr>
        <w:t>按照区财政局关于单位预决算信息公开的时间，在规定时间内完成本单位的信息公开。</w:t>
      </w:r>
    </w:p>
    <w:p>
      <w:pPr>
        <w:pStyle w:val="32"/>
        <w:numPr>
          <w:ilvl w:val="0"/>
          <w:numId w:val="6"/>
        </w:numPr>
        <w:ind w:left="0" w:leftChars="0" w:firstLine="640" w:firstLineChars="200"/>
        <w:rPr>
          <w:rFonts w:hint="eastAsia"/>
          <w:lang w:val="zh-CN"/>
        </w:rPr>
      </w:pPr>
      <w:r>
        <w:rPr>
          <w:rFonts w:hint="eastAsia" w:hAnsi="仿宋"/>
        </w:rPr>
        <w:t>我</w:t>
      </w:r>
      <w:r>
        <w:rPr>
          <w:rFonts w:hint="eastAsia" w:hAnsi="仿宋"/>
          <w:lang w:eastAsia="zh-CN"/>
        </w:rPr>
        <w:t>局</w:t>
      </w:r>
      <w:r>
        <w:rPr>
          <w:rFonts w:hint="eastAsia" w:hAnsi="仿宋"/>
        </w:rPr>
        <w:t>建立健全有效的内控制度，采取定期公开的的财务管理制度，严格执行财务管理制度，强化项目资金管理和使用。同时严格遵守国家、省、市财务管理法律法规，本着勤俭节约原则，管理好用好每笔资金。杜绝违规违法事件的发生。</w:t>
      </w:r>
      <w:r>
        <w:rPr>
          <w:rFonts w:hint="eastAsia" w:hAnsi="仿宋"/>
          <w:lang w:eastAsia="zh-CN"/>
        </w:rPr>
        <w:t>按时进行内控报告编制。</w:t>
      </w:r>
    </w:p>
    <w:p>
      <w:pPr>
        <w:pStyle w:val="32"/>
        <w:numPr>
          <w:ilvl w:val="0"/>
          <w:numId w:val="6"/>
        </w:numPr>
        <w:ind w:left="0" w:leftChars="0" w:firstLine="640" w:firstLineChars="200"/>
        <w:rPr>
          <w:rFonts w:hint="eastAsia"/>
          <w:lang w:val="zh-CN"/>
        </w:rPr>
      </w:pPr>
      <w:r>
        <w:rPr>
          <w:rFonts w:hint="eastAsia" w:ascii="仿宋_GB2312" w:hAnsi="仿宋" w:eastAsia="仿宋_GB2312" w:cs="Times New Roman"/>
          <w:kern w:val="2"/>
          <w:sz w:val="32"/>
          <w:szCs w:val="32"/>
          <w:lang w:val="en-US" w:eastAsia="zh-CN" w:bidi="ar-SA"/>
        </w:rPr>
        <w:t>我局所有资产实现资产归口管理和明确使用责任，细化到人，每年对资产进行清查盘点</w:t>
      </w:r>
      <w:r>
        <w:rPr>
          <w:rFonts w:hint="eastAsia" w:hAnsi="仿宋" w:cs="Times New Roman"/>
          <w:kern w:val="2"/>
          <w:sz w:val="32"/>
          <w:szCs w:val="32"/>
          <w:lang w:val="en-US" w:eastAsia="zh-CN" w:bidi="ar-SA"/>
        </w:rPr>
        <w:t>。</w:t>
      </w:r>
      <w:r>
        <w:rPr>
          <w:rFonts w:hint="eastAsia" w:ascii="仿宋_GB2312" w:hAnsi="仿宋" w:eastAsia="仿宋_GB2312" w:cs="Times New Roman"/>
          <w:kern w:val="2"/>
          <w:sz w:val="32"/>
          <w:szCs w:val="32"/>
          <w:lang w:val="en-US" w:eastAsia="zh-CN" w:bidi="ar-SA"/>
        </w:rPr>
        <w:t>对账实不符的情况及时进行处理；严格按照规定处置报废资产，新增资产及时进行登记入账。我</w:t>
      </w:r>
      <w:r>
        <w:rPr>
          <w:rFonts w:hint="eastAsia" w:ascii="仿宋_GB2312" w:hAnsi="仿宋" w:eastAsia="仿宋_GB2312" w:cs="Times New Roman"/>
          <w:kern w:val="2"/>
          <w:sz w:val="32"/>
          <w:szCs w:val="32"/>
          <w:lang w:val="zh-CN" w:eastAsia="zh-CN" w:bidi="ar-SA"/>
        </w:rPr>
        <w:t>单位固定资产均纳入资产信息系统管理，并将资产变动情况及时录入系统，同时落实人员负责管理系统，并及时上报资产报表。</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spacing w:line="600" w:lineRule="exact"/>
        <w:ind w:firstLine="640" w:firstLineChars="200"/>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认真贯彻执行《四川省省级财政专项资金绩效分配管理暂行办法》实施绩效分配。资金分配科学合理，分配过程符合相关规定。建立健全专项资金绩效分配机制，实现了财政资金资源有效配置。</w:t>
      </w:r>
    </w:p>
    <w:p>
      <w:pPr>
        <w:autoSpaceDE w:val="0"/>
        <w:autoSpaceDN w:val="0"/>
        <w:adjustRightInd w:val="0"/>
        <w:spacing w:line="600" w:lineRule="exact"/>
        <w:ind w:firstLine="640" w:firstLineChars="200"/>
        <w:jc w:val="left"/>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加强对项目资金的管理，严格按照资金的使用范围专款专用，支付有依据，严格开支标准。无截留、挤占、挪用专项资金和虚列资金及大额度现金支出现象。</w:t>
      </w:r>
    </w:p>
    <w:p>
      <w:pPr>
        <w:pStyle w:val="2"/>
        <w:ind w:left="0" w:leftChars="0" w:firstLine="640" w:firstLineChars="200"/>
        <w:rPr>
          <w:rFonts w:hint="default" w:ascii="黑体" w:hAnsi="宋体" w:eastAsia="黑体" w:cs="宋体"/>
          <w:color w:val="000000"/>
          <w:kern w:val="0"/>
          <w:sz w:val="32"/>
          <w:szCs w:val="32"/>
          <w:shd w:val="clear" w:color="auto" w:fill="FFFFFF"/>
          <w:lang w:val="en-US" w:eastAsia="zh-CN"/>
        </w:rPr>
      </w:pPr>
      <w:r>
        <w:rPr>
          <w:rFonts w:hint="eastAsia" w:ascii="仿宋_GB2312" w:hAnsi="仿宋" w:cs="Times New Roman"/>
          <w:kern w:val="2"/>
          <w:sz w:val="32"/>
          <w:szCs w:val="32"/>
          <w:lang w:val="en-US" w:eastAsia="zh-CN" w:bidi="ar-SA"/>
        </w:rPr>
        <w:t>完成了绩效目标任务。一、法治宣传工作。深入开展法治宣传，营造全民学法氛围。成立以区委宣传部副部长、区司法局局长为团长的普法讲师团，共计35人。定期开展“鸽鸽大讲堂”、彝汉双语法治夜校、农民夜校共计100余场次，受众群众达1万余人。继续深化“七进”活动，巩固普法宣传效果。“七五”普法以来，开展以案讲法1000余场，受教育群众达2万余人。常态集中普法，掀起普法宣传新高潮。充分利用“3.15消费者维权日”“6.16安全生产月”“6.26国际禁毒日”“12.4国家宪法日”等宣传节点，在全区共开展大型法治宣传活动30余场次，发放普法书籍2万余册，普法用品1万余份。创新“互联网+”法治宣传，发挥新闻的舆论导向作用。金口河普法微信公众号累计发布文章20余篇。发送普法彩信1万余条。今年，累计被省市微信公众号等新媒体采用信息5篇。二、社区矫正工作。我区在册社区矫正对象16人，其中缓刑人员13名，假释人员1名,暂予监外执行2人。一是坚持每天利用定位平台对矫正对象进行信息监控；二是坚持每月对重点对象进行走访、了解，对困难对象进行帮助，及时准确掌握思想动态；三是要求矫正对象每月一次思想汇报并递交书面汇报材料，严管人员每月向司法所提交书面汇报材料两次；四是司法所每月组织一次社区服务，劳动时间不少于8小时；五是矫正大队每两个季度组织一次集中教育活动，对矫正对象的表现进行总评，该表扬的表扬，该批评的批评，该警告的警告，严明矫正纪律；六是严格执行一项基本制度，即外出请销假制度。矫正对象外出必须书面请假，经审批后方能外出，回来必须到司法所当面销假。三、基层基础工作。1、已完成对人民调解工作的指导检查力度，提高全区人民调解工作水平，借助“人民调解大讲堂”完成业务培训4期，调解成功93件案件，调解率达100%，调解成功率达95%以上。2、牵头做好人民陪审员选任各项工作，增强人民陪审员依法履职、发挥参审作用的能力水平，目前全区人民陪审员选任各项工作已经完成。3、已完成全区人民监督员选任各项工作，抓好监督工作。4、已完成永胜、和平司法所规范化建设，全区6个司法所均并获得省级规范化司法所称号。四、法律服务工作。强化公共法律服务体系建设，开展法律顾问、法律咨询、辩护、代理、公证等领域的公益性法律服务，积极为重大建设项目提供服务。进一步完善“一小时法律援助服务圈”，加强规范化乡镇法律援助工作站建设，抓好12348法律服务热线建设。2019年共办结法律援助案件52件。法律咨询人次1200人次，受援人次700人次，金口河公证处办理公证案件46件。五、法治政府建设。1、今年共计审查规范性文件33件，新办执法证16张，年审执法证22张，组织并完成我区全省行政执法人员资格考试。2、完善全国行政复议平台中我区具有行政复议权限的单位信息，录入行政复议案件2件，代理区政府参与行政诉讼1件。</w:t>
      </w:r>
    </w:p>
    <w:p>
      <w:pPr>
        <w:widowControl/>
        <w:adjustRightInd w:val="0"/>
        <w:snapToGrid w:val="0"/>
        <w:spacing w:line="58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pStyle w:val="31"/>
        <w:numPr>
          <w:ilvl w:val="0"/>
          <w:numId w:val="0"/>
        </w:numPr>
        <w:ind w:firstLine="640" w:firstLineChars="200"/>
        <w:rPr>
          <w:rFonts w:hint="eastAsia" w:ascii="仿宋_GB2312" w:hAnsi="宋体" w:eastAsia="仿宋_GB2312" w:cs="宋体"/>
          <w:color w:val="000000"/>
          <w:kern w:val="0"/>
          <w:sz w:val="32"/>
          <w:szCs w:val="32"/>
          <w:shd w:val="clear" w:color="auto" w:fill="FFFFFF"/>
          <w:lang w:val="zh-CN"/>
        </w:rPr>
      </w:pPr>
      <w:r>
        <w:rPr>
          <w:rFonts w:hint="eastAsia" w:ascii="仿宋_GB2312" w:hAnsi="仿宋" w:eastAsia="仿宋_GB2312"/>
          <w:kern w:val="2"/>
          <w:sz w:val="32"/>
          <w:szCs w:val="32"/>
          <w:lang w:val="en-US" w:eastAsia="zh-CN" w:bidi="ar-SA"/>
        </w:rPr>
        <w:t>我局2019绩效评价考核自查情况总体良好，部门认真履职，项目认真落实，效果明显，群众满意度高，评价好。财务管理健全规范，没有发生违法违规现象，我局2019年的部门整体支出做到了使用规范、程序透明、达到预期绩效目标确保了机关的正常运行和各部室职能的正常履行，保证了目标任务的圆满完成。</w:t>
      </w:r>
    </w:p>
    <w:p>
      <w:pPr>
        <w:widowControl/>
        <w:numPr>
          <w:ilvl w:val="0"/>
          <w:numId w:val="5"/>
        </w:numPr>
        <w:adjustRightInd w:val="0"/>
        <w:snapToGrid w:val="0"/>
        <w:spacing w:line="58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存在问题。</w:t>
      </w:r>
    </w:p>
    <w:p>
      <w:pPr>
        <w:pStyle w:val="2"/>
        <w:numPr>
          <w:ilvl w:val="0"/>
          <w:numId w:val="0"/>
        </w:numPr>
        <w:ind w:firstLine="640" w:firstLineChars="200"/>
        <w:rPr>
          <w:lang w:val="zh-CN"/>
        </w:rPr>
      </w:pPr>
      <w:r>
        <w:rPr>
          <w:rFonts w:hint="eastAsia" w:ascii="仿宋_GB2312" w:hAnsi="Calibri" w:eastAsia="仿宋_GB2312"/>
          <w:color w:val="000000"/>
          <w:szCs w:val="32"/>
          <w:lang w:val="en-US"/>
        </w:rPr>
        <w:t>上级拨付资金的使用效率不够高，实施进度慢。</w:t>
      </w:r>
      <w:r>
        <w:rPr>
          <w:rFonts w:hint="eastAsia" w:ascii="仿宋_GB2312" w:hAnsi="Calibri" w:eastAsia="仿宋_GB2312"/>
          <w:color w:val="000000"/>
          <w:szCs w:val="32"/>
          <w:lang w:val="en-US" w:eastAsia="zh-CN"/>
        </w:rPr>
        <w:t>造成资金结转结余数额较大</w:t>
      </w:r>
      <w:r>
        <w:rPr>
          <w:rFonts w:hint="eastAsia" w:hAnsi="Calibri"/>
          <w:color w:val="000000"/>
          <w:szCs w:val="32"/>
          <w:lang w:val="en-US" w:eastAsia="zh-CN"/>
        </w:rPr>
        <w:t>。</w:t>
      </w:r>
    </w:p>
    <w:p>
      <w:pPr>
        <w:widowControl/>
        <w:adjustRightInd w:val="0"/>
        <w:snapToGrid w:val="0"/>
        <w:spacing w:line="580" w:lineRule="exact"/>
        <w:ind w:firstLine="640" w:firstLineChars="200"/>
        <w:contextualSpacing/>
        <w:jc w:val="left"/>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pStyle w:val="31"/>
        <w:numPr>
          <w:ilvl w:val="0"/>
          <w:numId w:val="0"/>
        </w:numPr>
        <w:ind w:firstLine="640" w:firstLineChars="200"/>
        <w:rPr>
          <w:rFonts w:hint="eastAsia" w:ascii="仿宋_GB2312" w:hAnsi="Calibri" w:eastAsia="仿宋_GB2312"/>
          <w:color w:val="000000"/>
          <w:szCs w:val="32"/>
          <w:lang w:val="en-US"/>
        </w:rPr>
      </w:pPr>
      <w:r>
        <w:rPr>
          <w:rFonts w:hint="eastAsia" w:ascii="仿宋_GB2312" w:hAnsi="Calibri" w:eastAsia="仿宋_GB2312"/>
          <w:color w:val="000000"/>
          <w:szCs w:val="32"/>
          <w:lang w:val="en-US" w:eastAsia="zh-CN"/>
        </w:rPr>
        <w:t>加强项目资金管理，进一步</w:t>
      </w:r>
      <w:r>
        <w:rPr>
          <w:rFonts w:hint="eastAsia" w:ascii="仿宋_GB2312" w:hAnsi="Calibri" w:eastAsia="仿宋_GB2312"/>
          <w:color w:val="000000"/>
          <w:szCs w:val="32"/>
          <w:lang w:val="en-US"/>
        </w:rPr>
        <w:t>加快完善相应制度建设和账务处理能力，对上级拨付资金及时进行计划和采购安排，做到合理使用，提高部门效率</w:t>
      </w:r>
      <w:r>
        <w:rPr>
          <w:rFonts w:hint="eastAsia" w:ascii="仿宋_GB2312" w:hAnsi="Calibri" w:eastAsia="仿宋_GB2312"/>
          <w:color w:val="000000"/>
          <w:szCs w:val="32"/>
          <w:lang w:val="en-US" w:eastAsia="zh-CN"/>
        </w:rPr>
        <w:t>。</w:t>
      </w:r>
    </w:p>
    <w:p>
      <w:pPr>
        <w:spacing w:line="580" w:lineRule="exact"/>
        <w:ind w:firstLine="640" w:firstLineChars="200"/>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lang w:eastAsia="zh-CN"/>
        </w:rPr>
      </w:pP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rPr>
          <w:rFonts w:hint="default"/>
          <w:lang w:val="en-US" w:eastAsia="zh-CN"/>
        </w:rPr>
      </w:pPr>
    </w:p>
    <w:p>
      <w:pPr>
        <w:spacing w:line="600" w:lineRule="exact"/>
        <w:jc w:val="center"/>
        <w:rPr>
          <w:rFonts w:ascii="仿宋_GB2312" w:hAnsi="仿宋_GB2312" w:eastAsia="仿宋_GB2312" w:cs="仿宋_GB2312"/>
          <w:sz w:val="32"/>
          <w:szCs w:val="32"/>
        </w:rPr>
      </w:pPr>
      <w:r>
        <w:rPr>
          <w:rFonts w:hint="eastAsia" w:ascii="方正小标宋简体" w:hAnsi="宋体" w:eastAsia="方正小标宋简体" w:cs="Times New Roman"/>
          <w:color w:val="000000"/>
          <w:kern w:val="0"/>
          <w:sz w:val="44"/>
          <w:szCs w:val="44"/>
          <w:lang w:eastAsia="zh-CN"/>
        </w:rPr>
        <w:t>法律援助</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widowControl/>
        <w:jc w:val="left"/>
        <w:rPr>
          <w:rFonts w:hint="eastAsia"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一、评价工作开展及项目情况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项目评价实施方案情况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项目实施地点：</w:t>
      </w:r>
      <w:r>
        <w:rPr>
          <w:rFonts w:hint="eastAsia" w:ascii="仿宋_GB2312" w:hAnsi="仿宋_GB2312" w:eastAsia="仿宋_GB2312" w:cs="仿宋_GB2312"/>
          <w:sz w:val="32"/>
          <w:szCs w:val="32"/>
          <w:lang w:eastAsia="zh-CN"/>
        </w:rPr>
        <w:t>金口河区</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评价指标：</w:t>
      </w:r>
      <w:r>
        <w:rPr>
          <w:rFonts w:hint="eastAsia" w:ascii="仿宋_GB2312" w:hAnsi="仿宋_GB2312" w:eastAsia="仿宋_GB2312" w:cs="仿宋_GB2312"/>
          <w:sz w:val="32"/>
          <w:szCs w:val="32"/>
          <w:lang w:eastAsia="zh-CN"/>
        </w:rPr>
        <w:t>案件数量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受援人次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接待人次</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评价方法：以统计上报数据为依据</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二、评价结论及绩效分析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项目绩效评价总体结论：该项目运行良好，项目全年预算数</w:t>
      </w:r>
      <w:r>
        <w:rPr>
          <w:rFonts w:hint="eastAsia" w:ascii="仿宋_GB2312" w:hAnsi="仿宋_GB2312" w:eastAsia="仿宋_GB2312" w:cs="仿宋_GB2312"/>
          <w:sz w:val="32"/>
          <w:szCs w:val="32"/>
          <w:lang w:val="en-US" w:eastAsia="zh-CN"/>
        </w:rPr>
        <w:t>4.98</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4.98</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%。通过项目实施，保障了</w:t>
      </w:r>
      <w:r>
        <w:rPr>
          <w:rFonts w:hint="eastAsia" w:ascii="仿宋_GB2312" w:hAnsi="仿宋_GB2312" w:eastAsia="仿宋_GB2312" w:cs="仿宋_GB2312"/>
          <w:sz w:val="32"/>
          <w:szCs w:val="32"/>
          <w:lang w:eastAsia="zh-CN"/>
        </w:rPr>
        <w:t>法律援助工作</w:t>
      </w:r>
      <w:r>
        <w:rPr>
          <w:rFonts w:hint="eastAsia" w:ascii="仿宋_GB2312" w:hAnsi="仿宋_GB2312" w:eastAsia="仿宋_GB2312" w:cs="仿宋_GB2312"/>
          <w:sz w:val="32"/>
          <w:szCs w:val="32"/>
        </w:rPr>
        <w:t>的正常运转，</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1、项目决策</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必要性和可行性分析：该项目为年初预算项目，符合当前经济社会发展需要，可行性论证充分，项目预期提供的效益可衡量，目标绩效设定符合实际需求。</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2、项目管理</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资金分配情况（资金分配管理的科学合理性）资金使用情况（项目、资金管理的科学规范性）：该项目资金分配科学合理，符合财政资金改革方向，资金使用规范管理制度健全。</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3、项目绩效</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项目目标完成情况、项目效益情况（经济效益、项目社会效益、生态效益、可持续效益、公平性、资金使用效率、受益群体满意度等）:通过项目的实施，保障了</w:t>
      </w:r>
      <w:r>
        <w:rPr>
          <w:rFonts w:hint="eastAsia" w:ascii="仿宋_GB2312" w:hAnsi="仿宋_GB2312" w:eastAsia="仿宋_GB2312" w:cs="仿宋_GB2312"/>
          <w:sz w:val="32"/>
          <w:szCs w:val="32"/>
          <w:lang w:eastAsia="zh-CN"/>
        </w:rPr>
        <w:t>法律援助工作</w:t>
      </w:r>
      <w:r>
        <w:rPr>
          <w:rFonts w:hint="eastAsia" w:ascii="仿宋_GB2312" w:hAnsi="仿宋_GB2312" w:eastAsia="仿宋_GB2312" w:cs="仿宋_GB2312"/>
          <w:sz w:val="32"/>
          <w:szCs w:val="32"/>
        </w:rPr>
        <w:t>的正常运转，为广大</w:t>
      </w:r>
      <w:r>
        <w:rPr>
          <w:rFonts w:hint="eastAsia" w:ascii="仿宋_GB2312" w:hAnsi="仿宋_GB2312" w:eastAsia="仿宋_GB2312" w:cs="仿宋_GB2312"/>
          <w:sz w:val="32"/>
          <w:szCs w:val="32"/>
          <w:lang w:eastAsia="zh-CN"/>
        </w:rPr>
        <w:t>困难群众</w:t>
      </w:r>
      <w:r>
        <w:rPr>
          <w:rFonts w:hint="eastAsia" w:ascii="仿宋_GB2312" w:hAnsi="仿宋_GB2312" w:eastAsia="仿宋_GB2312" w:cs="仿宋_GB2312"/>
          <w:sz w:val="32"/>
          <w:szCs w:val="32"/>
        </w:rPr>
        <w:t>提供了</w:t>
      </w:r>
      <w:r>
        <w:rPr>
          <w:rFonts w:hint="eastAsia" w:ascii="仿宋_GB2312" w:hAnsi="仿宋_GB2312" w:eastAsia="仿宋_GB2312" w:cs="仿宋_GB2312"/>
          <w:sz w:val="32"/>
          <w:szCs w:val="32"/>
          <w:lang w:eastAsia="zh-CN"/>
        </w:rPr>
        <w:t>法律援助，法律咨询，案件办理等服务</w:t>
      </w:r>
      <w:r>
        <w:rPr>
          <w:rFonts w:hint="eastAsia" w:ascii="仿宋_GB2312" w:hAnsi="仿宋_GB2312" w:eastAsia="仿宋_GB2312" w:cs="仿宋_GB2312"/>
          <w:sz w:val="32"/>
          <w:szCs w:val="32"/>
        </w:rPr>
        <w:t>，受益群体满意度高。</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三、存在主要问题：无。</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 w:hAnsi="仿宋" w:eastAsia="仿宋" w:cs="仿宋_GB2312"/>
          <w:sz w:val="32"/>
          <w:szCs w:val="32"/>
        </w:rPr>
      </w:pPr>
      <w:r>
        <w:rPr>
          <w:rFonts w:hint="eastAsia" w:ascii="仿宋_GB2312" w:hAnsi="仿宋_GB2312" w:eastAsia="仿宋_GB2312" w:cs="仿宋_GB2312"/>
          <w:sz w:val="32"/>
          <w:szCs w:val="32"/>
        </w:rPr>
        <w:t>四、相关措施建议：无。</w:t>
      </w:r>
    </w:p>
    <w:p>
      <w:pPr>
        <w:widowControl/>
        <w:jc w:val="center"/>
        <w:rPr>
          <w:rFonts w:hint="eastAsia" w:ascii="黑体" w:hAnsi="黑体" w:eastAsia="黑体" w:cs="方正小标宋简体"/>
          <w:sz w:val="36"/>
          <w:szCs w:val="36"/>
        </w:rPr>
      </w:pPr>
    </w:p>
    <w:p>
      <w:pPr>
        <w:widowControl/>
        <w:jc w:val="center"/>
        <w:rPr>
          <w:rFonts w:hint="eastAsia" w:ascii="黑体" w:hAnsi="黑体" w:eastAsia="黑体" w:cs="方正小标宋简体"/>
          <w:sz w:val="36"/>
          <w:szCs w:val="36"/>
        </w:rPr>
      </w:pPr>
    </w:p>
    <w:p>
      <w:pPr>
        <w:pStyle w:val="2"/>
        <w:rPr>
          <w:rFonts w:hint="eastAsia" w:ascii="黑体" w:hAnsi="黑体" w:eastAsia="黑体" w:cs="方正小标宋简体"/>
          <w:sz w:val="36"/>
          <w:szCs w:val="36"/>
        </w:rPr>
      </w:pPr>
    </w:p>
    <w:p>
      <w:pPr>
        <w:rPr>
          <w:rFonts w:hint="eastAsia" w:ascii="黑体" w:hAnsi="黑体" w:eastAsia="黑体" w:cs="方正小标宋简体"/>
          <w:sz w:val="36"/>
          <w:szCs w:val="36"/>
        </w:rPr>
      </w:pPr>
    </w:p>
    <w:p>
      <w:pPr>
        <w:pStyle w:val="2"/>
        <w:rPr>
          <w:rFonts w:hint="eastAsia" w:ascii="黑体" w:hAnsi="黑体" w:eastAsia="黑体" w:cs="方正小标宋简体"/>
          <w:sz w:val="36"/>
          <w:szCs w:val="36"/>
        </w:rPr>
      </w:pPr>
    </w:p>
    <w:p>
      <w:pPr>
        <w:rPr>
          <w:rFonts w:hint="eastAsia" w:ascii="黑体" w:hAnsi="黑体" w:eastAsia="黑体" w:cs="方正小标宋简体"/>
          <w:sz w:val="36"/>
          <w:szCs w:val="36"/>
        </w:rPr>
      </w:pPr>
    </w:p>
    <w:p>
      <w:pPr>
        <w:pStyle w:val="2"/>
        <w:rPr>
          <w:rFonts w:hint="eastAsia" w:ascii="黑体" w:hAnsi="黑体" w:eastAsia="黑体" w:cs="方正小标宋简体"/>
          <w:sz w:val="36"/>
          <w:szCs w:val="36"/>
        </w:rPr>
      </w:pPr>
    </w:p>
    <w:p>
      <w:pPr>
        <w:rPr>
          <w:rFonts w:hint="eastAsia" w:ascii="黑体" w:hAnsi="黑体" w:eastAsia="黑体" w:cs="方正小标宋简体"/>
          <w:sz w:val="36"/>
          <w:szCs w:val="36"/>
        </w:rPr>
      </w:pPr>
    </w:p>
    <w:p>
      <w:pPr>
        <w:pStyle w:val="2"/>
        <w:rPr>
          <w:rFonts w:hint="eastAsia" w:ascii="黑体" w:hAnsi="黑体" w:eastAsia="黑体" w:cs="方正小标宋简体"/>
          <w:sz w:val="36"/>
          <w:szCs w:val="36"/>
        </w:rPr>
      </w:pPr>
    </w:p>
    <w:p>
      <w:pPr>
        <w:rPr>
          <w:rFonts w:hint="eastAsia" w:ascii="黑体" w:hAnsi="黑体" w:eastAsia="黑体" w:cs="方正小标宋简体"/>
          <w:sz w:val="36"/>
          <w:szCs w:val="36"/>
        </w:rPr>
      </w:pPr>
    </w:p>
    <w:p>
      <w:pPr>
        <w:pStyle w:val="2"/>
        <w:rPr>
          <w:rFonts w:hint="eastAsia" w:ascii="黑体" w:hAnsi="黑体" w:eastAsia="黑体" w:cs="方正小标宋简体"/>
          <w:sz w:val="36"/>
          <w:szCs w:val="36"/>
        </w:rPr>
      </w:pPr>
    </w:p>
    <w:p>
      <w:pPr>
        <w:rPr>
          <w:rFonts w:hint="eastAsia"/>
        </w:rPr>
      </w:pPr>
    </w:p>
    <w:p>
      <w:pPr>
        <w:spacing w:line="600" w:lineRule="exact"/>
        <w:jc w:val="center"/>
        <w:rPr>
          <w:rFonts w:ascii="仿宋_GB2312" w:hAnsi="仿宋_GB2312" w:eastAsia="仿宋_GB2312" w:cs="仿宋_GB2312"/>
          <w:sz w:val="32"/>
          <w:szCs w:val="32"/>
        </w:rPr>
      </w:pPr>
      <w:r>
        <w:rPr>
          <w:rFonts w:hint="eastAsia" w:ascii="方正小标宋简体" w:hAnsi="宋体" w:eastAsia="方正小标宋简体" w:cs="Times New Roman"/>
          <w:color w:val="000000"/>
          <w:kern w:val="0"/>
          <w:sz w:val="44"/>
          <w:szCs w:val="44"/>
          <w:lang w:val="en-US" w:eastAsia="zh-CN"/>
        </w:rPr>
        <w:t>脱贫攻坚</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widowControl/>
        <w:jc w:val="left"/>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一、评价工作开展及项目情况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项目评价实施方案情况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项目实施地点：</w:t>
      </w:r>
      <w:r>
        <w:rPr>
          <w:rFonts w:hint="eastAsia" w:ascii="仿宋_GB2312" w:hAnsi="仿宋_GB2312" w:eastAsia="仿宋_GB2312" w:cs="仿宋_GB2312"/>
          <w:sz w:val="32"/>
          <w:szCs w:val="32"/>
          <w:lang w:eastAsia="zh-CN"/>
        </w:rPr>
        <w:t>吉星乡柏乡村</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评价指标：农户数、农户收</w:t>
      </w:r>
      <w:r>
        <w:rPr>
          <w:rFonts w:hint="eastAsia" w:ascii="仿宋_GB2312" w:hAnsi="仿宋_GB2312" w:eastAsia="仿宋_GB2312" w:cs="仿宋_GB2312"/>
          <w:sz w:val="32"/>
          <w:szCs w:val="32"/>
          <w:lang w:eastAsia="zh-CN"/>
        </w:rPr>
        <w:t>入、满意度</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评价方法：以统计上报数据为依据</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二、评价结论及绩效分析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项目绩效评价总体结论：该项目运行良好，项目全年预算数</w:t>
      </w:r>
      <w:r>
        <w:rPr>
          <w:rFonts w:hint="eastAsia" w:ascii="仿宋_GB2312" w:hAnsi="仿宋_GB2312" w:eastAsia="仿宋_GB2312" w:cs="仿宋_GB2312"/>
          <w:sz w:val="32"/>
          <w:szCs w:val="32"/>
          <w:lang w:val="en-US" w:eastAsia="zh-CN"/>
        </w:rPr>
        <w:t>2.25</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2.25</w:t>
      </w:r>
      <w:r>
        <w:rPr>
          <w:rFonts w:hint="eastAsia" w:ascii="仿宋_GB2312" w:hAnsi="仿宋_GB2312" w:eastAsia="仿宋_GB2312" w:cs="仿宋_GB2312"/>
          <w:sz w:val="32"/>
          <w:szCs w:val="32"/>
        </w:rPr>
        <w:t>万元，完成预算的100%。通过项目实施，密切了与贫困村的联系，确保了脱贫攻坚工作的圆满完成，</w:t>
      </w:r>
      <w:r>
        <w:rPr>
          <w:rFonts w:hint="eastAsia" w:ascii="仿宋_GB2312" w:hAnsi="仿宋_GB2312" w:eastAsia="仿宋_GB2312" w:cs="仿宋_GB2312"/>
          <w:sz w:val="32"/>
          <w:szCs w:val="32"/>
          <w:lang w:eastAsia="zh-CN"/>
        </w:rPr>
        <w:t>提升了农户的满意度</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1、项目决策</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必要性和可行性分析：该项目为年初预算项目，符合当前经济社会发展需要，可行性论证充分，项目预期提供的效益可衡量，目标绩效设定符合实际需求。</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2、项目管理</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资金分配情况（资金分配管理的科学合理性）资金使用情况（项目、资金管理的科学规范性）：该项目资金分配科学合理，符合财政资金改革方向，资金使用规范管理制度健全。</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3、项目绩效</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项目目标完成情况、项目效益情况（经济效益、项目社会效益、生态效益、可持续效益、公平性、资金使用效率、受益群体满意度等）: 通过项目的实施，</w:t>
      </w:r>
      <w:r>
        <w:rPr>
          <w:rFonts w:hint="eastAsia" w:ascii="仿宋_GB2312" w:hAnsi="仿宋_GB2312" w:eastAsia="仿宋_GB2312" w:cs="仿宋_GB2312"/>
          <w:sz w:val="32"/>
          <w:szCs w:val="32"/>
          <w:lang w:eastAsia="zh-CN"/>
        </w:rPr>
        <w:t>帮扶了联系户</w:t>
      </w:r>
      <w:r>
        <w:rPr>
          <w:rFonts w:hint="eastAsia" w:ascii="仿宋_GB2312" w:hAnsi="仿宋_GB2312" w:eastAsia="仿宋_GB2312" w:cs="仿宋_GB2312"/>
          <w:sz w:val="32"/>
          <w:szCs w:val="32"/>
        </w:rPr>
        <w:t>，提高了联系村村民生活质量，受益群体满意度高</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三、存在主要问题：无。</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四、相关措施建议：无。</w:t>
      </w:r>
    </w:p>
    <w:p>
      <w:pPr>
        <w:spacing w:line="600" w:lineRule="exact"/>
        <w:jc w:val="center"/>
        <w:rPr>
          <w:rFonts w:hint="eastAsia" w:ascii="方正小标宋简体" w:hAnsi="宋体" w:eastAsia="方正小标宋简体" w:cs="Times New Roman"/>
          <w:color w:val="000000"/>
          <w:kern w:val="0"/>
          <w:sz w:val="44"/>
          <w:szCs w:val="44"/>
          <w:lang w:val="en-US" w:eastAsia="zh-CN"/>
        </w:rPr>
      </w:pPr>
    </w:p>
    <w:p>
      <w:pPr>
        <w:pStyle w:val="2"/>
        <w:rPr>
          <w:rFonts w:hint="eastAsia" w:ascii="方正小标宋简体" w:hAnsi="宋体" w:eastAsia="方正小标宋简体" w:cs="Times New Roman"/>
          <w:color w:val="000000"/>
          <w:kern w:val="0"/>
          <w:sz w:val="44"/>
          <w:szCs w:val="44"/>
          <w:lang w:val="en-US" w:eastAsia="zh-CN"/>
        </w:rPr>
      </w:pPr>
    </w:p>
    <w:p>
      <w:pPr>
        <w:rPr>
          <w:rFonts w:hint="eastAsia" w:ascii="方正小标宋简体" w:hAnsi="宋体" w:eastAsia="方正小标宋简体" w:cs="Times New Roman"/>
          <w:color w:val="000000"/>
          <w:kern w:val="0"/>
          <w:sz w:val="44"/>
          <w:szCs w:val="44"/>
          <w:lang w:val="en-US" w:eastAsia="zh-CN"/>
        </w:rPr>
      </w:pPr>
    </w:p>
    <w:p>
      <w:pPr>
        <w:pStyle w:val="2"/>
        <w:rPr>
          <w:rFonts w:hint="eastAsia" w:ascii="方正小标宋简体" w:hAnsi="宋体" w:eastAsia="方正小标宋简体" w:cs="Times New Roman"/>
          <w:color w:val="000000"/>
          <w:kern w:val="0"/>
          <w:sz w:val="44"/>
          <w:szCs w:val="44"/>
          <w:lang w:val="en-US" w:eastAsia="zh-CN"/>
        </w:rPr>
      </w:pPr>
    </w:p>
    <w:p>
      <w:pPr>
        <w:rPr>
          <w:rFonts w:hint="eastAsia" w:ascii="方正小标宋简体" w:hAnsi="宋体" w:eastAsia="方正小标宋简体" w:cs="Times New Roman"/>
          <w:color w:val="000000"/>
          <w:kern w:val="0"/>
          <w:sz w:val="44"/>
          <w:szCs w:val="44"/>
          <w:lang w:val="en-US" w:eastAsia="zh-CN"/>
        </w:rPr>
      </w:pPr>
    </w:p>
    <w:p>
      <w:pPr>
        <w:pStyle w:val="2"/>
        <w:rPr>
          <w:rFonts w:hint="eastAsia" w:ascii="方正小标宋简体" w:hAnsi="宋体" w:eastAsia="方正小标宋简体" w:cs="Times New Roman"/>
          <w:color w:val="000000"/>
          <w:kern w:val="0"/>
          <w:sz w:val="44"/>
          <w:szCs w:val="44"/>
          <w:lang w:val="en-US" w:eastAsia="zh-CN"/>
        </w:rPr>
      </w:pPr>
    </w:p>
    <w:p>
      <w:pPr>
        <w:rPr>
          <w:rFonts w:hint="eastAsia" w:ascii="方正小标宋简体" w:hAnsi="宋体" w:eastAsia="方正小标宋简体" w:cs="Times New Roman"/>
          <w:color w:val="000000"/>
          <w:kern w:val="0"/>
          <w:sz w:val="44"/>
          <w:szCs w:val="44"/>
          <w:lang w:val="en-US" w:eastAsia="zh-CN"/>
        </w:rPr>
      </w:pPr>
    </w:p>
    <w:p>
      <w:pPr>
        <w:pStyle w:val="2"/>
        <w:rPr>
          <w:rFonts w:hint="eastAsia" w:ascii="方正小标宋简体" w:hAnsi="宋体" w:eastAsia="方正小标宋简体" w:cs="Times New Roman"/>
          <w:color w:val="000000"/>
          <w:kern w:val="0"/>
          <w:sz w:val="44"/>
          <w:szCs w:val="44"/>
          <w:lang w:val="en-US" w:eastAsia="zh-CN"/>
        </w:rPr>
      </w:pPr>
    </w:p>
    <w:p>
      <w:pPr>
        <w:rPr>
          <w:rFonts w:hint="eastAsia" w:ascii="方正小标宋简体" w:hAnsi="宋体" w:eastAsia="方正小标宋简体" w:cs="Times New Roman"/>
          <w:color w:val="000000"/>
          <w:kern w:val="0"/>
          <w:sz w:val="44"/>
          <w:szCs w:val="44"/>
          <w:lang w:val="en-US" w:eastAsia="zh-CN"/>
        </w:rPr>
      </w:pPr>
    </w:p>
    <w:p>
      <w:pPr>
        <w:pStyle w:val="2"/>
        <w:rPr>
          <w:rFonts w:hint="eastAsia"/>
          <w:lang w:val="en-US" w:eastAsia="zh-CN"/>
        </w:rPr>
      </w:pPr>
    </w:p>
    <w:p>
      <w:pPr>
        <w:spacing w:line="600" w:lineRule="exact"/>
        <w:jc w:val="center"/>
        <w:rPr>
          <w:rFonts w:ascii="仿宋_GB2312" w:hAnsi="仿宋_GB2312" w:eastAsia="仿宋_GB2312" w:cs="仿宋_GB2312"/>
          <w:sz w:val="32"/>
          <w:szCs w:val="32"/>
        </w:rPr>
      </w:pPr>
      <w:r>
        <w:rPr>
          <w:rFonts w:hint="eastAsia" w:ascii="方正小标宋简体" w:hAnsi="宋体" w:eastAsia="方正小标宋简体" w:cs="Times New Roman"/>
          <w:color w:val="000000"/>
          <w:kern w:val="0"/>
          <w:sz w:val="44"/>
          <w:szCs w:val="44"/>
          <w:lang w:val="en-US" w:eastAsia="zh-CN"/>
        </w:rPr>
        <w:t>普法宣传</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widowControl/>
        <w:jc w:val="left"/>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一、评价工作开展及项目情况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项目评价实施方案情况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项目实施地点：</w:t>
      </w:r>
      <w:r>
        <w:rPr>
          <w:rFonts w:hint="eastAsia" w:ascii="仿宋_GB2312" w:hAnsi="仿宋_GB2312" w:eastAsia="仿宋_GB2312" w:cs="仿宋_GB2312"/>
          <w:sz w:val="32"/>
          <w:szCs w:val="32"/>
          <w:lang w:eastAsia="zh-CN"/>
        </w:rPr>
        <w:t>全区</w:t>
      </w:r>
      <w:r>
        <w:rPr>
          <w:rFonts w:hint="eastAsia" w:ascii="仿宋_GB2312" w:hAnsi="仿宋_GB2312" w:eastAsia="仿宋_GB2312" w:cs="仿宋_GB2312"/>
          <w:sz w:val="32"/>
          <w:szCs w:val="32"/>
          <w:lang w:val="en-US" w:eastAsia="zh-CN"/>
        </w:rPr>
        <w:t>6个乡镇</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评价指标：</w:t>
      </w:r>
      <w:r>
        <w:rPr>
          <w:rFonts w:hint="eastAsia" w:ascii="仿宋_GB2312" w:hAnsi="仿宋_GB2312" w:eastAsia="仿宋_GB2312" w:cs="仿宋_GB2312"/>
          <w:sz w:val="32"/>
          <w:szCs w:val="32"/>
          <w:lang w:eastAsia="zh-CN"/>
        </w:rPr>
        <w:t>开展活动场次，宣传人次，受众满意度</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评价方法：以统计上报数据为依据</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二、评价结论及绩效分析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项目绩效评价总体结论：该项目运行良好，</w:t>
      </w:r>
      <w:r>
        <w:rPr>
          <w:rFonts w:hint="eastAsia" w:ascii="仿宋_GB2312" w:hAnsi="仿宋_GB2312" w:eastAsia="仿宋_GB2312" w:cs="仿宋_GB2312"/>
          <w:sz w:val="32"/>
          <w:szCs w:val="32"/>
          <w:lang w:val="en-US" w:eastAsia="zh-CN"/>
        </w:rPr>
        <w:t>深入开展法治宣传，营造全民学法氛围。成立以区委宣传部副部长、区司法局局长为团长的普法讲师团，共计35人。定期开展“鸽鸽大讲堂”、彝汉双语法治夜校、农民夜校共计100余场次，受众群众达1万余人。继续深化“七进”活动，巩固普法宣传效果。“七五”普法以来，开展以案讲法1000余场，受教育群众达2万余人。常态集中普法，掀起普法宣传新高潮。充分利用“3.15消费者维权日”“6.16安全生产月”“6.26国际禁毒日”“12.4国家宪法日”等宣传节点，在全区共开展大型法治宣传活动30余场次，发放普法书籍2万余册，普法用品1万余份。创新“互联网+”法治宣传，发挥新闻的舆论导向作用。金口河普法微信公众号累计发布文章20余篇。发送普法彩信1万余条。今年，累计被省市微信公众号等新媒体采用信息5篇。</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1、项目决策</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必要性和可行性分析：该项目为年初预算项目，符合当前经济社会发展需要，可行性论证充分，项目预期提供的效益可衡量，目标绩效设定符合实际需求。</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2、项目管理</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资金分配情况（资金分配管理的科学合理性）资金使用情况（项目、资金管理的科学规范性）：该项目资金分配科学合理，符合财政资金改革方向，资金使用规范管理制度健全。</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3、项目绩效</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项目目标完成情况、项目效益情况（经济效益、项目社会效益、生态效益、可持续效益、公平性、资金使用效率、受益群体满意度等）:项目全年预算数</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%。通过项目的实施，</w:t>
      </w:r>
      <w:r>
        <w:rPr>
          <w:rFonts w:hint="eastAsia" w:ascii="仿宋_GB2312" w:hAnsi="仿宋_GB2312" w:eastAsia="仿宋_GB2312" w:cs="仿宋_GB2312"/>
          <w:sz w:val="32"/>
          <w:szCs w:val="32"/>
          <w:lang w:eastAsia="zh-CN"/>
        </w:rPr>
        <w:t>保障了宣传活动的顺利进行，</w:t>
      </w:r>
      <w:r>
        <w:rPr>
          <w:rFonts w:hint="eastAsia" w:ascii="仿宋_GB2312" w:hAnsi="仿宋_GB2312" w:eastAsia="仿宋_GB2312" w:cs="仿宋_GB2312"/>
          <w:sz w:val="32"/>
          <w:szCs w:val="32"/>
        </w:rPr>
        <w:t>满意度较高。</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三、存在主要问题：无。</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四、相关措施建议：无。</w:t>
      </w:r>
    </w:p>
    <w:p>
      <w:pPr>
        <w:widowControl/>
        <w:jc w:val="center"/>
        <w:rPr>
          <w:rFonts w:hint="eastAsia" w:ascii="黑体" w:hAnsi="黑体" w:eastAsia="黑体" w:cs="方正小标宋简体"/>
          <w:sz w:val="36"/>
          <w:szCs w:val="36"/>
        </w:rPr>
      </w:pPr>
    </w:p>
    <w:p>
      <w:pPr>
        <w:spacing w:line="600" w:lineRule="exact"/>
        <w:jc w:val="center"/>
        <w:rPr>
          <w:rFonts w:ascii="仿宋_GB2312" w:hAnsi="仿宋_GB2312" w:eastAsia="仿宋_GB2312" w:cs="仿宋_GB2312"/>
          <w:sz w:val="32"/>
          <w:szCs w:val="32"/>
        </w:rPr>
      </w:pPr>
      <w:r>
        <w:rPr>
          <w:rFonts w:hint="eastAsia" w:ascii="方正小标宋简体" w:hAnsi="宋体" w:eastAsia="方正小标宋简体" w:cs="Times New Roman"/>
          <w:color w:val="000000"/>
          <w:kern w:val="0"/>
          <w:sz w:val="44"/>
          <w:szCs w:val="44"/>
          <w:lang w:val="en-US" w:eastAsia="zh-CN"/>
        </w:rPr>
        <w:t>社区矫正</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widowControl/>
        <w:jc w:val="left"/>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一、评价工作开展及项目情况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项目评价实施方案情况</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项目实施地点：</w:t>
      </w:r>
      <w:r>
        <w:rPr>
          <w:rFonts w:hint="eastAsia" w:ascii="仿宋_GB2312" w:hAnsi="仿宋_GB2312" w:eastAsia="仿宋_GB2312" w:cs="仿宋_GB2312"/>
          <w:sz w:val="32"/>
          <w:szCs w:val="32"/>
          <w:lang w:val="en-US" w:eastAsia="zh-CN"/>
        </w:rPr>
        <w:t>6个乡镇司法所</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评价指标：</w:t>
      </w:r>
      <w:r>
        <w:rPr>
          <w:rFonts w:hint="eastAsia" w:ascii="仿宋_GB2312" w:hAnsi="仿宋_GB2312" w:eastAsia="仿宋_GB2312" w:cs="仿宋_GB2312"/>
          <w:sz w:val="32"/>
          <w:szCs w:val="32"/>
          <w:lang w:eastAsia="zh-CN"/>
        </w:rPr>
        <w:t>服刑人数，脱管漏管率，再犯率</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评价方法：以统计上报数据为依据</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二、评价结论及绩效分析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项目绩效评价总体结论：该项目运行良好，通过该项目的实施，</w:t>
      </w:r>
      <w:r>
        <w:rPr>
          <w:rFonts w:hint="eastAsia" w:ascii="仿宋_GB2312" w:hAnsi="仿宋_GB2312" w:eastAsia="仿宋_GB2312" w:cs="仿宋_GB2312"/>
          <w:sz w:val="32"/>
          <w:szCs w:val="32"/>
          <w:lang w:eastAsia="zh-CN"/>
        </w:rPr>
        <w:t>管理好了社区矫正人员，</w:t>
      </w:r>
      <w:r>
        <w:rPr>
          <w:rFonts w:hint="eastAsia" w:ascii="仿宋_GB2312" w:hAnsi="仿宋_GB2312" w:eastAsia="仿宋_GB2312" w:cs="仿宋_GB2312"/>
          <w:sz w:val="32"/>
          <w:szCs w:val="32"/>
        </w:rPr>
        <w:t>消除了不安全因素，保障了</w:t>
      </w:r>
      <w:r>
        <w:rPr>
          <w:rFonts w:hint="eastAsia" w:ascii="仿宋_GB2312" w:hAnsi="仿宋_GB2312" w:eastAsia="仿宋_GB2312" w:cs="仿宋_GB2312"/>
          <w:sz w:val="32"/>
          <w:szCs w:val="32"/>
          <w:lang w:eastAsia="zh-CN"/>
        </w:rPr>
        <w:t>社会</w:t>
      </w:r>
      <w:r>
        <w:rPr>
          <w:rFonts w:hint="eastAsia" w:ascii="仿宋_GB2312" w:hAnsi="仿宋_GB2312" w:eastAsia="仿宋_GB2312" w:cs="仿宋_GB2312"/>
          <w:sz w:val="32"/>
          <w:szCs w:val="32"/>
        </w:rPr>
        <w:t>安全。</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（二）绩效分析</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1、项目决策</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必要性和可行性分析：该项目为年初预算项目，符合</w:t>
      </w:r>
      <w:r>
        <w:rPr>
          <w:rFonts w:hint="eastAsia" w:ascii="仿宋_GB2312" w:hAnsi="仿宋_GB2312" w:eastAsia="仿宋_GB2312" w:cs="仿宋_GB2312"/>
          <w:sz w:val="32"/>
          <w:szCs w:val="32"/>
          <w:lang w:eastAsia="zh-CN"/>
        </w:rPr>
        <w:t>工作实际</w:t>
      </w:r>
      <w:r>
        <w:rPr>
          <w:rFonts w:hint="eastAsia" w:ascii="仿宋_GB2312" w:hAnsi="仿宋_GB2312" w:eastAsia="仿宋_GB2312" w:cs="仿宋_GB2312"/>
          <w:sz w:val="32"/>
          <w:szCs w:val="32"/>
        </w:rPr>
        <w:t>需要，可行性论证充分，项目预期提供的效益可衡量，目标绩效设定符合实际需求。</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2、项目管理</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资金分配情况（资金分配管理的科学合理性）资金使用情况（项目、资金管理的科学规范性）：该项目资金分配科学合理，符合财政资金改革方向，资金使用规范管理制度健全。</w:t>
      </w:r>
    </w:p>
    <w:p>
      <w:pPr>
        <w:pStyle w:val="24"/>
        <w:keepNext w:val="0"/>
        <w:keepLines w:val="0"/>
        <w:pageBreakBefore w:val="0"/>
        <w:widowControl/>
        <w:numPr>
          <w:ilvl w:val="0"/>
          <w:numId w:val="0"/>
        </w:numPr>
        <w:kinsoku/>
        <w:wordWrap/>
        <w:overflowPunct/>
        <w:topLinePunct w:val="0"/>
        <w:autoSpaceDE/>
        <w:autoSpaceDN/>
        <w:bidi w:val="0"/>
        <w:adjustRightInd/>
        <w:snapToGrid/>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项目绩效</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项目目标完成情况、项目效益情况（经济效益、项目社会效益、生态效益、可持续效益、公平性、资金使用效率、受益群体满意度等）:项目全年预算数</w:t>
      </w:r>
      <w:r>
        <w:rPr>
          <w:rFonts w:hint="eastAsia" w:ascii="仿宋_GB2312" w:hAnsi="仿宋_GB2312" w:eastAsia="仿宋_GB2312" w:cs="仿宋_GB2312"/>
          <w:sz w:val="32"/>
          <w:szCs w:val="32"/>
          <w:lang w:val="en-US" w:eastAsia="zh-CN"/>
        </w:rPr>
        <w:t>6.86</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6.86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使得社区矫正人员受教育程度提升，减少了对社会的不安定因素</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三、存在主要问题：</w:t>
      </w:r>
      <w:r>
        <w:rPr>
          <w:rFonts w:hint="eastAsia" w:ascii="仿宋_GB2312" w:hAnsi="仿宋_GB2312" w:eastAsia="仿宋_GB2312" w:cs="仿宋_GB2312"/>
          <w:sz w:val="32"/>
          <w:szCs w:val="32"/>
          <w:lang w:eastAsia="zh-CN"/>
        </w:rPr>
        <w:t>无</w:t>
      </w:r>
    </w:p>
    <w:p>
      <w:pPr>
        <w:keepNext w:val="0"/>
        <w:keepLines w:val="0"/>
        <w:pageBreakBefore w:val="0"/>
        <w:widowControl/>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四、相关措施建议：</w:t>
      </w:r>
      <w:r>
        <w:rPr>
          <w:rFonts w:hint="eastAsia" w:ascii="仿宋_GB2312" w:hAnsi="仿宋_GB2312" w:eastAsia="仿宋_GB2312" w:cs="仿宋_GB2312"/>
          <w:sz w:val="32"/>
          <w:szCs w:val="32"/>
          <w:lang w:eastAsia="zh-CN"/>
        </w:rPr>
        <w:t>无</w:t>
      </w: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hint="eastAsia" w:ascii="方正小标宋简体" w:hAnsi="宋体" w:eastAsia="方正小标宋简体"/>
          <w:color w:val="000000"/>
          <w:kern w:val="0"/>
          <w:sz w:val="44"/>
          <w:szCs w:val="44"/>
          <w:lang w:val="zh-CN" w:eastAsia="zh-CN"/>
        </w:rPr>
      </w:pPr>
    </w:p>
    <w:p>
      <w:pPr>
        <w:widowControl/>
        <w:jc w:val="center"/>
        <w:rPr>
          <w:rFonts w:ascii="仿宋_GB2312" w:hAnsi="仿宋_GB2312" w:eastAsia="仿宋_GB2312" w:cs="仿宋_GB2312"/>
          <w:sz w:val="32"/>
          <w:szCs w:val="32"/>
        </w:rPr>
      </w:pPr>
      <w:r>
        <w:rPr>
          <w:rFonts w:hint="eastAsia" w:ascii="方正小标宋简体" w:hAnsi="宋体" w:eastAsia="方正小标宋简体"/>
          <w:color w:val="000000"/>
          <w:kern w:val="0"/>
          <w:sz w:val="44"/>
          <w:szCs w:val="44"/>
          <w:lang w:val="zh-CN" w:eastAsia="zh-CN"/>
        </w:rPr>
        <w:t>基层司法</w:t>
      </w:r>
      <w:r>
        <w:rPr>
          <w:rFonts w:hint="eastAsia" w:ascii="方正小标宋简体" w:hAnsi="宋体" w:eastAsia="方正小标宋简体"/>
          <w:color w:val="000000"/>
          <w:kern w:val="0"/>
          <w:sz w:val="44"/>
          <w:szCs w:val="44"/>
          <w:lang w:val="en-US" w:eastAsia="zh-CN"/>
        </w:rPr>
        <w:t>业务</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widowControl/>
        <w:jc w:val="left"/>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一、评价工作开展及项目情况</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项目评价实施方案情况</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项目实施地点：</w:t>
      </w:r>
      <w:r>
        <w:rPr>
          <w:rFonts w:hint="eastAsia" w:ascii="仿宋_GB2312" w:hAnsi="仿宋_GB2312" w:eastAsia="仿宋_GB2312" w:cs="仿宋_GB2312"/>
          <w:sz w:val="32"/>
          <w:szCs w:val="32"/>
          <w:lang w:val="en-US" w:eastAsia="zh-CN"/>
        </w:rPr>
        <w:t>6个乡镇司法所</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评价指标：</w:t>
      </w:r>
      <w:r>
        <w:rPr>
          <w:rFonts w:hint="eastAsia" w:ascii="仿宋_GB2312" w:hAnsi="仿宋_GB2312" w:eastAsia="仿宋_GB2312" w:cs="仿宋_GB2312"/>
          <w:sz w:val="32"/>
          <w:szCs w:val="32"/>
          <w:lang w:eastAsia="zh-CN"/>
        </w:rPr>
        <w:t>人民调解案件数量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安置帮教人数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群众满意度。</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评价方法：以统计上报数据为依据</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二、评价结论及绩效分析</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（一）评价结论</w:t>
      </w:r>
    </w:p>
    <w:p>
      <w:pPr>
        <w:pStyle w:val="6"/>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项目绩效评价总体结论：该项目运行良好</w:t>
      </w:r>
      <w:r>
        <w:rPr>
          <w:rFonts w:hint="eastAsia" w:hAnsi="仿宋_GB2312" w:cs="仿宋_GB2312"/>
          <w:sz w:val="32"/>
          <w:szCs w:val="32"/>
          <w:lang w:eastAsia="zh-CN"/>
        </w:rPr>
        <w:t>。</w:t>
      </w:r>
      <w:r>
        <w:rPr>
          <w:rFonts w:hint="eastAsia" w:ascii="仿宋_GB2312" w:hAnsi="仿宋" w:cs="Times New Roman"/>
          <w:kern w:val="2"/>
          <w:sz w:val="32"/>
          <w:szCs w:val="32"/>
          <w:lang w:val="en-US" w:eastAsia="zh-CN" w:bidi="ar-SA"/>
        </w:rPr>
        <w:t>1、已完成对人民调解工作的指导检查力度，提高全区人民调解工作水平，借助“人民调解大讲堂”完成业务培训4期，调解成功93件案件，调解率达100%，调解成功率达95%以上。2、牵头做好人民陪审员选任各项工作，增强人民陪审员依法履职、发挥参审作用的能力水平，目前全区人民陪审员选任各项工作已经完成。3、已完成全区人民监督员选任各项工作，抓好监督工作。4、已完成永胜、和平司法所规范化建设，全区6个司法所均并获得省级规范化司法所称号</w:t>
      </w:r>
      <w:r>
        <w:rPr>
          <w:rFonts w:hint="eastAsia" w:ascii="仿宋_GB2312" w:hAnsi="仿宋_GB2312" w:eastAsia="仿宋_GB2312" w:cs="仿宋_GB2312"/>
          <w:sz w:val="32"/>
          <w:szCs w:val="32"/>
          <w:lang w:val="en-US" w:eastAsia="zh-CN"/>
        </w:rPr>
        <w:t>。充分发挥</w:t>
      </w:r>
      <w:r>
        <w:rPr>
          <w:rFonts w:hint="eastAsia" w:hAnsi="仿宋_GB2312" w:cs="仿宋_GB2312"/>
          <w:sz w:val="32"/>
          <w:szCs w:val="32"/>
          <w:lang w:val="en-US" w:eastAsia="zh-CN"/>
        </w:rPr>
        <w:t>了</w:t>
      </w:r>
      <w:r>
        <w:rPr>
          <w:rFonts w:hint="eastAsia" w:ascii="仿宋_GB2312" w:hAnsi="仿宋_GB2312" w:eastAsia="仿宋_GB2312" w:cs="仿宋_GB2312"/>
          <w:sz w:val="32"/>
          <w:szCs w:val="32"/>
          <w:lang w:val="en-US" w:eastAsia="zh-CN"/>
        </w:rPr>
        <w:t>司法行政工作职能。</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（二）绩效分析</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1、项目决策</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必要性和可行性分析：该项目为年初预算项目，符合</w:t>
      </w:r>
      <w:r>
        <w:rPr>
          <w:rFonts w:hint="eastAsia" w:ascii="仿宋_GB2312" w:hAnsi="仿宋_GB2312" w:eastAsia="仿宋_GB2312" w:cs="仿宋_GB2312"/>
          <w:sz w:val="32"/>
          <w:szCs w:val="32"/>
          <w:lang w:eastAsia="zh-CN"/>
        </w:rPr>
        <w:t>工作开展的</w:t>
      </w:r>
      <w:r>
        <w:rPr>
          <w:rFonts w:hint="eastAsia" w:ascii="仿宋_GB2312" w:hAnsi="仿宋_GB2312" w:eastAsia="仿宋_GB2312" w:cs="仿宋_GB2312"/>
          <w:sz w:val="32"/>
          <w:szCs w:val="32"/>
        </w:rPr>
        <w:t>需要，可行性论证充分，项目预期提供的效益可衡量，目标绩效设定符合实际需求。</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2、项目管理</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资金分配情况（资金分配管理的科学合理性）资金使用情况（项目、资金管理的科学规范性）：该项目资金分配科学合理，符合财政资金改革方向，资金使用规范管理制度健全。</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3、项目绩效</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项目目标完成情况、项目效益情况（经济效益、项目社会效益、生态效益、可持续效益、公平性、资金使用效率、受益群体满意度等）:项目全年预算数</w:t>
      </w:r>
      <w:r>
        <w:rPr>
          <w:rFonts w:hint="eastAsia" w:ascii="仿宋_GB2312" w:hAnsi="仿宋_GB2312" w:eastAsia="仿宋_GB2312" w:cs="仿宋_GB2312"/>
          <w:sz w:val="32"/>
          <w:szCs w:val="32"/>
          <w:lang w:val="en-US" w:eastAsia="zh-CN"/>
        </w:rPr>
        <w:t>8.31</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8.31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%。通过项目的实施，</w:t>
      </w:r>
      <w:r>
        <w:rPr>
          <w:rFonts w:hint="eastAsia" w:ascii="仿宋_GB2312" w:hAnsi="仿宋_GB2312" w:eastAsia="仿宋_GB2312" w:cs="仿宋_GB2312"/>
          <w:sz w:val="32"/>
          <w:szCs w:val="32"/>
          <w:lang w:eastAsia="zh-CN"/>
        </w:rPr>
        <w:t>保障了基层司法工作的开展</w:t>
      </w:r>
      <w:r>
        <w:rPr>
          <w:rFonts w:hint="eastAsia" w:ascii="仿宋_GB2312" w:hAnsi="仿宋_GB2312" w:eastAsia="仿宋_GB2312" w:cs="仿宋_GB2312"/>
          <w:sz w:val="32"/>
          <w:szCs w:val="32"/>
        </w:rPr>
        <w:t>，受益群体满意度高，</w:t>
      </w:r>
      <w:r>
        <w:rPr>
          <w:rFonts w:hint="eastAsia" w:ascii="仿宋_GB2312" w:hAnsi="仿宋_GB2312" w:eastAsia="仿宋_GB2312" w:cs="仿宋_GB2312"/>
          <w:sz w:val="32"/>
          <w:szCs w:val="32"/>
          <w:lang w:eastAsia="zh-CN"/>
        </w:rPr>
        <w:t>减少了社会不安定因素</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三、存在主要问题：无。</w:t>
      </w:r>
    </w:p>
    <w:p>
      <w:pPr>
        <w:keepNext w:val="0"/>
        <w:keepLines w:val="0"/>
        <w:pageBreakBefore w:val="0"/>
        <w:kinsoku/>
        <w:wordWrap/>
        <w:overflowPunct/>
        <w:topLinePunct w:val="0"/>
        <w:autoSpaceDE/>
        <w:autoSpaceDN/>
        <w:bidi w:val="0"/>
        <w:spacing w:line="58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四、相关措施建议：无。</w:t>
      </w:r>
    </w:p>
    <w:p>
      <w:pPr>
        <w:widowControl/>
        <w:jc w:val="left"/>
        <w:rPr>
          <w:rStyle w:val="25"/>
          <w:rFonts w:ascii="黑体" w:hAnsi="黑体" w:eastAsia="黑体"/>
          <w:b w:val="0"/>
        </w:rPr>
      </w:pPr>
      <w:r>
        <w:rPr>
          <w:rStyle w:val="25"/>
          <w:rFonts w:ascii="黑体" w:hAnsi="黑体" w:eastAsia="黑体"/>
          <w:b w:val="0"/>
        </w:rPr>
        <w:br w:type="page"/>
      </w:r>
    </w:p>
    <w:p>
      <w:pPr>
        <w:spacing w:line="600" w:lineRule="exact"/>
        <w:jc w:val="center"/>
        <w:outlineLvl w:val="0"/>
        <w:rPr>
          <w:rStyle w:val="25"/>
          <w:rFonts w:ascii="黑体" w:hAnsi="黑体" w:eastAsia="黑体"/>
          <w:b w:val="0"/>
        </w:rPr>
      </w:pPr>
      <w:bookmarkStart w:id="59" w:name="_Toc15396618"/>
      <w:r>
        <w:rPr>
          <w:rFonts w:hint="eastAsia" w:ascii="黑体" w:hAnsi="黑体" w:eastAsia="黑体"/>
          <w:color w:val="000000"/>
          <w:sz w:val="44"/>
          <w:szCs w:val="44"/>
        </w:rPr>
        <w:t>第</w:t>
      </w:r>
      <w:r>
        <w:rPr>
          <w:rStyle w:val="25"/>
          <w:rFonts w:hint="eastAsia" w:ascii="黑体" w:hAnsi="黑体" w:eastAsia="黑体"/>
          <w:b w:val="0"/>
        </w:rPr>
        <w:t>五部分 附表</w:t>
      </w:r>
      <w:bookmarkEnd w:id="57"/>
      <w:bookmarkEnd w:id="59"/>
    </w:p>
    <w:p>
      <w:pPr>
        <w:spacing w:line="600" w:lineRule="exact"/>
        <w:jc w:val="center"/>
        <w:outlineLvl w:val="0"/>
        <w:rPr>
          <w:rFonts w:ascii="仿宋" w:hAnsi="仿宋" w:eastAsia="仿宋"/>
          <w:b/>
          <w:color w:val="000000"/>
          <w:sz w:val="44"/>
          <w:szCs w:val="44"/>
        </w:rPr>
      </w:pPr>
    </w:p>
    <w:p>
      <w:pPr>
        <w:pStyle w:val="4"/>
        <w:rPr>
          <w:rFonts w:ascii="仿宋" w:hAnsi="仿宋" w:eastAsia="仿宋"/>
          <w:color w:val="000000"/>
        </w:rPr>
      </w:pPr>
      <w:bookmarkStart w:id="60" w:name="_Toc15396619"/>
      <w:r>
        <w:rPr>
          <w:rFonts w:hint="eastAsia" w:ascii="仿宋" w:hAnsi="仿宋" w:eastAsia="仿宋"/>
          <w:b w:val="0"/>
          <w:color w:val="000000"/>
        </w:rPr>
        <w:t>一、收</w:t>
      </w:r>
      <w:r>
        <w:rPr>
          <w:rStyle w:val="26"/>
          <w:rFonts w:hint="eastAsia" w:ascii="仿宋" w:hAnsi="仿宋" w:eastAsia="仿宋"/>
          <w:b w:val="0"/>
          <w:bCs w:val="0"/>
        </w:rPr>
        <w:t>入支出决算总表</w:t>
      </w:r>
      <w:bookmarkEnd w:id="60"/>
    </w:p>
    <w:p>
      <w:pPr>
        <w:pStyle w:val="4"/>
        <w:rPr>
          <w:rFonts w:ascii="仿宋" w:hAnsi="仿宋" w:eastAsia="仿宋"/>
          <w:color w:val="000000"/>
        </w:rPr>
      </w:pPr>
      <w:bookmarkStart w:id="61" w:name="_Toc15396620"/>
      <w:r>
        <w:rPr>
          <w:rFonts w:hint="eastAsia" w:ascii="仿宋" w:hAnsi="仿宋" w:eastAsia="仿宋"/>
          <w:b w:val="0"/>
          <w:color w:val="000000"/>
        </w:rPr>
        <w:t>二、收</w:t>
      </w:r>
      <w:r>
        <w:rPr>
          <w:rStyle w:val="26"/>
          <w:rFonts w:hint="eastAsia" w:ascii="仿宋" w:hAnsi="仿宋" w:eastAsia="仿宋"/>
          <w:b w:val="0"/>
          <w:bCs w:val="0"/>
        </w:rPr>
        <w:t>入决算表</w:t>
      </w:r>
      <w:bookmarkEnd w:id="61"/>
    </w:p>
    <w:p>
      <w:pPr>
        <w:pStyle w:val="4"/>
        <w:rPr>
          <w:rFonts w:ascii="仿宋" w:hAnsi="仿宋" w:eastAsia="仿宋"/>
          <w:color w:val="000000"/>
        </w:rPr>
      </w:pPr>
      <w:bookmarkStart w:id="62"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62"/>
    </w:p>
    <w:p>
      <w:pPr>
        <w:pStyle w:val="4"/>
        <w:rPr>
          <w:rFonts w:ascii="仿宋" w:hAnsi="仿宋" w:eastAsia="仿宋"/>
          <w:b w:val="0"/>
          <w:color w:val="000000"/>
        </w:rPr>
      </w:pPr>
      <w:bookmarkStart w:id="63"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63"/>
    </w:p>
    <w:p>
      <w:pPr>
        <w:pStyle w:val="4"/>
        <w:rPr>
          <w:rStyle w:val="26"/>
          <w:rFonts w:ascii="仿宋" w:hAnsi="仿宋" w:eastAsia="仿宋"/>
          <w:b w:val="0"/>
          <w:bCs w:val="0"/>
        </w:rPr>
      </w:pPr>
      <w:bookmarkStart w:id="64"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64"/>
      <w:bookmarkStart w:id="65" w:name="_Toc15396624"/>
    </w:p>
    <w:p>
      <w:pPr>
        <w:pStyle w:val="4"/>
        <w:rPr>
          <w:rFonts w:ascii="仿宋" w:hAnsi="仿宋" w:eastAsia="仿宋"/>
          <w:color w:val="000000"/>
        </w:rPr>
      </w:pPr>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65"/>
    </w:p>
    <w:p>
      <w:pPr>
        <w:pStyle w:val="4"/>
        <w:rPr>
          <w:rFonts w:ascii="仿宋" w:hAnsi="仿宋" w:eastAsia="仿宋"/>
          <w:color w:val="000000"/>
        </w:rPr>
      </w:pPr>
      <w:bookmarkStart w:id="66"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66"/>
    </w:p>
    <w:p>
      <w:pPr>
        <w:pStyle w:val="4"/>
        <w:rPr>
          <w:rFonts w:ascii="仿宋" w:hAnsi="仿宋" w:eastAsia="仿宋"/>
          <w:color w:val="000000"/>
        </w:rPr>
      </w:pPr>
      <w:bookmarkStart w:id="67"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67"/>
    </w:p>
    <w:p>
      <w:pPr>
        <w:pStyle w:val="4"/>
        <w:rPr>
          <w:rFonts w:ascii="仿宋" w:hAnsi="仿宋" w:eastAsia="仿宋"/>
          <w:color w:val="000000"/>
        </w:rPr>
      </w:pPr>
      <w:bookmarkStart w:id="68"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68"/>
    </w:p>
    <w:p>
      <w:pPr>
        <w:pStyle w:val="4"/>
        <w:rPr>
          <w:rFonts w:ascii="仿宋" w:hAnsi="仿宋" w:eastAsia="仿宋"/>
          <w:color w:val="000000"/>
        </w:rPr>
      </w:pPr>
      <w:bookmarkStart w:id="69"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69"/>
    </w:p>
    <w:p>
      <w:pPr>
        <w:pStyle w:val="4"/>
        <w:rPr>
          <w:rFonts w:ascii="仿宋" w:hAnsi="仿宋" w:eastAsia="仿宋"/>
          <w:color w:val="000000"/>
        </w:rPr>
      </w:pPr>
      <w:bookmarkStart w:id="70"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70"/>
    </w:p>
    <w:p>
      <w:pPr>
        <w:pStyle w:val="4"/>
        <w:rPr>
          <w:rFonts w:ascii="仿宋" w:hAnsi="仿宋" w:eastAsia="仿宋"/>
          <w:color w:val="000000"/>
        </w:rPr>
      </w:pPr>
      <w:bookmarkStart w:id="71"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71"/>
    </w:p>
    <w:p>
      <w:pPr>
        <w:pStyle w:val="4"/>
        <w:rPr>
          <w:rFonts w:ascii="仿宋" w:hAnsi="仿宋" w:eastAsia="仿宋"/>
          <w:color w:val="000000" w:themeColor="text1"/>
          <w14:textFill>
            <w14:solidFill>
              <w14:schemeClr w14:val="tx1"/>
            </w14:solidFill>
          </w14:textFill>
        </w:rPr>
      </w:pPr>
      <w:bookmarkStart w:id="72" w:name="_Toc15396631"/>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72"/>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24</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B8A099"/>
    <w:multiLevelType w:val="singleLevel"/>
    <w:tmpl w:val="B1B8A099"/>
    <w:lvl w:ilvl="0" w:tentative="0">
      <w:start w:val="5"/>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5AD7E1B"/>
    <w:multiLevelType w:val="singleLevel"/>
    <w:tmpl w:val="15AD7E1B"/>
    <w:lvl w:ilvl="0" w:tentative="0">
      <w:start w:val="2"/>
      <w:numFmt w:val="chineseCounting"/>
      <w:suff w:val="nothing"/>
      <w:lvlText w:val="（%1）"/>
      <w:lvlJc w:val="left"/>
      <w:rPr>
        <w:rFonts w:hint="eastAsia"/>
      </w:rPr>
    </w:lvl>
  </w:abstractNum>
  <w:abstractNum w:abstractNumId="5">
    <w:nsid w:val="7EE55BF3"/>
    <w:multiLevelType w:val="multilevel"/>
    <w:tmpl w:val="7EE55BF3"/>
    <w:lvl w:ilvl="0" w:tentative="0">
      <w:start w:val="1"/>
      <w:numFmt w:val="chineseCountingThousand"/>
      <w:pStyle w:val="31"/>
      <w:suff w:val="nothing"/>
      <w:lvlText w:val="（%1）"/>
      <w:lvlJc w:val="left"/>
      <w:pPr>
        <w:ind w:left="0" w:firstLine="635"/>
      </w:pPr>
      <w:rPr>
        <w:rFonts w:hint="eastAsia"/>
      </w:rPr>
    </w:lvl>
    <w:lvl w:ilvl="1" w:tentative="0">
      <w:start w:val="1"/>
      <w:numFmt w:val="decimal"/>
      <w:lvlText w:val="%2."/>
      <w:lvlJc w:val="left"/>
      <w:pPr>
        <w:ind w:left="980" w:hanging="360"/>
      </w:pPr>
      <w:rPr>
        <w:rFonts w:hint="default"/>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5"/>
  </w:num>
  <w:num w:numId="2">
    <w:abstractNumId w:val="3"/>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C07D0"/>
    <w:rsid w:val="00FD3CC1"/>
    <w:rsid w:val="00FF1E02"/>
    <w:rsid w:val="00FF30B4"/>
    <w:rsid w:val="052F6553"/>
    <w:rsid w:val="08010A56"/>
    <w:rsid w:val="0AD04DED"/>
    <w:rsid w:val="0E876D5C"/>
    <w:rsid w:val="10C055FF"/>
    <w:rsid w:val="14AB4CE8"/>
    <w:rsid w:val="1562287C"/>
    <w:rsid w:val="16BB723D"/>
    <w:rsid w:val="17732AD5"/>
    <w:rsid w:val="18E64829"/>
    <w:rsid w:val="1C303B4E"/>
    <w:rsid w:val="1CF04A4C"/>
    <w:rsid w:val="1D0518E7"/>
    <w:rsid w:val="1E060F2A"/>
    <w:rsid w:val="1F67672B"/>
    <w:rsid w:val="200F5A83"/>
    <w:rsid w:val="231F1498"/>
    <w:rsid w:val="240371BF"/>
    <w:rsid w:val="29FD04D3"/>
    <w:rsid w:val="2A306383"/>
    <w:rsid w:val="2EB97C67"/>
    <w:rsid w:val="319F7F4E"/>
    <w:rsid w:val="32B81E0D"/>
    <w:rsid w:val="35371E91"/>
    <w:rsid w:val="373038FC"/>
    <w:rsid w:val="3E2C18FA"/>
    <w:rsid w:val="3F3C75A4"/>
    <w:rsid w:val="3F516509"/>
    <w:rsid w:val="3F917776"/>
    <w:rsid w:val="3FC64569"/>
    <w:rsid w:val="44BA4980"/>
    <w:rsid w:val="486E794D"/>
    <w:rsid w:val="4BA963E9"/>
    <w:rsid w:val="4DD32AAE"/>
    <w:rsid w:val="4E203146"/>
    <w:rsid w:val="4ECE2238"/>
    <w:rsid w:val="4F916EC8"/>
    <w:rsid w:val="50EB354F"/>
    <w:rsid w:val="515D1316"/>
    <w:rsid w:val="51B977C6"/>
    <w:rsid w:val="53683ABF"/>
    <w:rsid w:val="55EA7F94"/>
    <w:rsid w:val="568D2DE3"/>
    <w:rsid w:val="5AD172CA"/>
    <w:rsid w:val="5CF63776"/>
    <w:rsid w:val="5E791EAA"/>
    <w:rsid w:val="5F2C1ABE"/>
    <w:rsid w:val="609A1E8E"/>
    <w:rsid w:val="609F62C6"/>
    <w:rsid w:val="619D7908"/>
    <w:rsid w:val="61DF4C76"/>
    <w:rsid w:val="62845A35"/>
    <w:rsid w:val="63E7482B"/>
    <w:rsid w:val="64603469"/>
    <w:rsid w:val="64A86A6D"/>
    <w:rsid w:val="672F1724"/>
    <w:rsid w:val="6867721B"/>
    <w:rsid w:val="687B61C9"/>
    <w:rsid w:val="68E521CF"/>
    <w:rsid w:val="691531E7"/>
    <w:rsid w:val="6AB93FDF"/>
    <w:rsid w:val="6AED794A"/>
    <w:rsid w:val="72734D90"/>
    <w:rsid w:val="76360C7A"/>
    <w:rsid w:val="763A4FFC"/>
    <w:rsid w:val="78AC4A28"/>
    <w:rsid w:val="7A372809"/>
    <w:rsid w:val="7B3C13A9"/>
    <w:rsid w:val="7C9C6516"/>
    <w:rsid w:val="7E52779D"/>
    <w:rsid w:val="7ECB5470"/>
    <w:rsid w:val="7F097E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table of figures"/>
    <w:basedOn w:val="1"/>
    <w:next w:val="1"/>
    <w:unhideWhenUsed/>
    <w:qFormat/>
    <w:uiPriority w:val="99"/>
    <w:pPr>
      <w:ind w:left="200" w:leftChars="200" w:hanging="200" w:hangingChars="200"/>
    </w:pPr>
    <w:rPr>
      <w:rFonts w:ascii="Times New Roman" w:eastAsia="仿宋_GB2312"/>
      <w:sz w:val="32"/>
      <w:szCs w:val="24"/>
    </w:rPr>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 w:type="paragraph" w:customStyle="1" w:styleId="32">
    <w:name w:val="〖C01〗正文"/>
    <w:qFormat/>
    <w:uiPriority w:val="0"/>
    <w:pPr>
      <w:widowControl w:val="0"/>
      <w:topLinePunct/>
      <w:spacing w:line="600" w:lineRule="exact"/>
      <w:ind w:firstLine="637" w:firstLineChars="200"/>
    </w:pPr>
    <w:rPr>
      <w:rFonts w:ascii="仿宋_GB2312" w:hAnsi="Calibri"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image" Target="media/image1.png"/><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511.33</c:v>
                </c:pt>
                <c:pt idx="1">
                  <c:v>503.98</c:v>
                </c:pt>
              </c:numCache>
            </c:numRef>
          </c:val>
        </c:ser>
        <c:ser>
          <c:idx val="1"/>
          <c:order val="1"/>
          <c:tx>
            <c:strRef>
              <c:f>Sheet1!$C$1</c:f>
              <c:strCache>
                <c:ptCount val="1"/>
                <c:pt idx="0">
                  <c:v>支出</c:v>
                </c:pt>
              </c:strCache>
            </c:strRef>
          </c:tx>
          <c:spPr>
            <a:solidFill>
              <a:schemeClr val="accent2"/>
            </a:solidFill>
            <a:ln>
              <a:noFill/>
            </a:ln>
            <a:effectLst/>
          </c:spPr>
          <c:invertIfNegative val="0"/>
          <c:dLbls>
            <c:delete val="1"/>
          </c:dLbls>
          <c:cat>
            <c:strRef>
              <c:f>Sheet1!$A$2:$A$3</c:f>
              <c:strCache>
                <c:ptCount val="2"/>
                <c:pt idx="0">
                  <c:v>2018年</c:v>
                </c:pt>
                <c:pt idx="1">
                  <c:v>2019年</c:v>
                </c:pt>
              </c:strCache>
            </c:strRef>
          </c:cat>
          <c:val>
            <c:numRef>
              <c:f>Sheet1!$C$2:$C$3</c:f>
              <c:numCache>
                <c:formatCode>General</c:formatCode>
                <c:ptCount val="2"/>
                <c:pt idx="0">
                  <c:v>518.73</c:v>
                </c:pt>
                <c:pt idx="1">
                  <c:v>503.98</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2018年</c:v>
                </c:pt>
                <c:pt idx="1">
                  <c:v>2019年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510581428"/>
        <c:axId val="260568063"/>
      </c:barChart>
      <c:catAx>
        <c:axId val="51058142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0568063"/>
        <c:crosses val="autoZero"/>
        <c:auto val="1"/>
        <c:lblAlgn val="ctr"/>
        <c:lblOffset val="100"/>
        <c:noMultiLvlLbl val="0"/>
      </c:catAx>
      <c:valAx>
        <c:axId val="2605680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0581428"/>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Sheet1!$A$2:$A$3</c:f>
              <c:strCache>
                <c:ptCount val="2"/>
                <c:pt idx="0">
                  <c:v>基本支出</c:v>
                </c:pt>
                <c:pt idx="1">
                  <c:v>项目支出</c:v>
                </c:pt>
              </c:strCache>
            </c:strRef>
          </c:cat>
          <c:val>
            <c:numRef>
              <c:f>Sheet1!$B$2:$B$3</c:f>
              <c:numCache>
                <c:formatCode>General</c:formatCode>
                <c:ptCount val="2"/>
                <c:pt idx="0">
                  <c:v>366.38</c:v>
                </c:pt>
                <c:pt idx="1">
                  <c:v>137.6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511.33</c:v>
                </c:pt>
                <c:pt idx="1">
                  <c:v>503.98</c:v>
                </c:pt>
              </c:numCache>
            </c:numRef>
          </c:val>
        </c:ser>
        <c:ser>
          <c:idx val="1"/>
          <c:order val="1"/>
          <c:tx>
            <c:strRef>
              <c:f>Sheet1!$C$1</c:f>
              <c:strCache>
                <c:ptCount val="1"/>
                <c:pt idx="0">
                  <c:v>支出</c:v>
                </c:pt>
              </c:strCache>
            </c:strRef>
          </c:tx>
          <c:spPr>
            <a:solidFill>
              <a:schemeClr val="accent2"/>
            </a:solidFill>
            <a:ln>
              <a:noFill/>
            </a:ln>
            <a:effectLst/>
          </c:spPr>
          <c:invertIfNegative val="0"/>
          <c:dLbls>
            <c:delete val="1"/>
          </c:dLbls>
          <c:cat>
            <c:strRef>
              <c:f>Sheet1!$A$2:$A$3</c:f>
              <c:strCache>
                <c:ptCount val="2"/>
                <c:pt idx="0">
                  <c:v>2018年</c:v>
                </c:pt>
                <c:pt idx="1">
                  <c:v>2019年</c:v>
                </c:pt>
              </c:strCache>
            </c:strRef>
          </c:cat>
          <c:val>
            <c:numRef>
              <c:f>Sheet1!$C$2:$C$3</c:f>
              <c:numCache>
                <c:formatCode>General</c:formatCode>
                <c:ptCount val="2"/>
                <c:pt idx="0">
                  <c:v>518.73</c:v>
                </c:pt>
                <c:pt idx="1">
                  <c:v>503.98</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2018年</c:v>
                </c:pt>
                <c:pt idx="1">
                  <c:v>2019年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510581428"/>
        <c:axId val="260568063"/>
      </c:barChart>
      <c:catAx>
        <c:axId val="51058142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60568063"/>
        <c:crosses val="autoZero"/>
        <c:auto val="1"/>
        <c:lblAlgn val="ctr"/>
        <c:lblOffset val="100"/>
        <c:noMultiLvlLbl val="0"/>
      </c:catAx>
      <c:valAx>
        <c:axId val="2605680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0581428"/>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一般公共预算财政拨款支出变动情况表</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solidFill>
              <a:schemeClr val="accent1"/>
            </a:solidFill>
            <a:ln>
              <a:noFill/>
            </a:ln>
            <a:effectLst/>
          </c:spPr>
          <c:invertIfNegative val="0"/>
          <c:dLbls>
            <c:delete val="1"/>
          </c:dLbls>
          <c:cat>
            <c:strRef>
              <c:f>Sheet1!$A$2:$A$3</c:f>
              <c:strCache>
                <c:ptCount val="2"/>
                <c:pt idx="0">
                  <c:v>2018年</c:v>
                </c:pt>
                <c:pt idx="1">
                  <c:v>2019年</c:v>
                </c:pt>
              </c:strCache>
            </c:strRef>
          </c:cat>
          <c:val>
            <c:numRef>
              <c:f>Sheet1!$B$2:$B$3</c:f>
              <c:numCache>
                <c:formatCode>General</c:formatCode>
                <c:ptCount val="2"/>
                <c:pt idx="0">
                  <c:v>518.73</c:v>
                </c:pt>
                <c:pt idx="1">
                  <c:v>503.98</c:v>
                </c:pt>
              </c:numCache>
            </c:numRef>
          </c:val>
        </c:ser>
        <c:dLbls>
          <c:showLegendKey val="0"/>
          <c:showVal val="0"/>
          <c:showCatName val="0"/>
          <c:showSerName val="0"/>
          <c:showPercent val="0"/>
          <c:showBubbleSize val="0"/>
        </c:dLbls>
        <c:gapWidth val="219"/>
        <c:overlap val="-27"/>
        <c:axId val="567619176"/>
        <c:axId val="718161560"/>
      </c:barChart>
      <c:catAx>
        <c:axId val="56761917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8161560"/>
        <c:crosses val="autoZero"/>
        <c:auto val="1"/>
        <c:lblAlgn val="ctr"/>
        <c:lblOffset val="100"/>
        <c:noMultiLvlLbl val="0"/>
      </c:catAx>
      <c:valAx>
        <c:axId val="7181615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7619176"/>
        <c:crosses val="autoZero"/>
        <c:crossBetween val="between"/>
      </c:valAx>
      <c:spPr>
        <a:noFill/>
        <a:ln>
          <a:noFill/>
        </a:ln>
        <a:effectLst/>
      </c:spPr>
    </c:plotArea>
    <c:legend>
      <c:legendPos val="b"/>
      <c:layout>
        <c:manualLayout>
          <c:xMode val="edge"/>
          <c:yMode val="edge"/>
          <c:x val="0.306125"/>
          <c:y val="0.92416666666666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Sheet1!$A$2:$A$8</c:f>
              <c:strCache>
                <c:ptCount val="7"/>
                <c:pt idx="0">
                  <c:v>一般公共服务支出</c:v>
                </c:pt>
                <c:pt idx="1">
                  <c:v>公共安全支出支出</c:v>
                </c:pt>
                <c:pt idx="2">
                  <c:v>社会保障和就业支出</c:v>
                </c:pt>
                <c:pt idx="3">
                  <c:v>卫生健康支出</c:v>
                </c:pt>
                <c:pt idx="4">
                  <c:v>农林水支出</c:v>
                </c:pt>
                <c:pt idx="5">
                  <c:v>住房保障支出</c:v>
                </c:pt>
                <c:pt idx="6">
                  <c:v>年末财政拨款结转和结余</c:v>
                </c:pt>
              </c:strCache>
            </c:strRef>
          </c:cat>
          <c:val>
            <c:numRef>
              <c:f>Sheet1!$B$2:$B$8</c:f>
              <c:numCache>
                <c:formatCode>0.00%</c:formatCode>
                <c:ptCount val="7"/>
                <c:pt idx="0">
                  <c:v>0.002</c:v>
                </c:pt>
                <c:pt idx="1">
                  <c:v>0.6713</c:v>
                </c:pt>
                <c:pt idx="2">
                  <c:v>0.091</c:v>
                </c:pt>
                <c:pt idx="3">
                  <c:v>0.017</c:v>
                </c:pt>
                <c:pt idx="4">
                  <c:v>0.004</c:v>
                </c:pt>
                <c:pt idx="5" c:formatCode="0%">
                  <c:v>0.06</c:v>
                </c:pt>
                <c:pt idx="6">
                  <c:v>0.1547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3.62</c:v>
                </c:pt>
                <c:pt idx="2">
                  <c:v>1.33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B0ACD3-C931-4644-801A-B9EA7D580E31}">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24</Pages>
  <Words>7622</Words>
  <Characters>931</Characters>
  <Lines>7</Lines>
  <Paragraphs>17</Paragraphs>
  <TotalTime>0</TotalTime>
  <ScaleCrop>false</ScaleCrop>
  <LinksUpToDate>false</LinksUpToDate>
  <CharactersWithSpaces>8536</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偶买噶1406529595</cp:lastModifiedBy>
  <cp:lastPrinted>2020-07-23T02:58:00Z</cp:lastPrinted>
  <dcterms:modified xsi:type="dcterms:W3CDTF">2020-09-24T09:40:29Z</dcterms:modified>
  <dc:title>四川省***</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