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附表：</w:t>
      </w:r>
      <w:bookmarkStart w:id="0" w:name="_GoBack"/>
      <w:bookmarkEnd w:id="0"/>
    </w:p>
    <w:tbl>
      <w:tblPr>
        <w:tblStyle w:val="4"/>
        <w:tblW w:w="82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9"/>
        <w:gridCol w:w="718"/>
        <w:gridCol w:w="583"/>
        <w:gridCol w:w="913"/>
        <w:gridCol w:w="1078"/>
        <w:gridCol w:w="868"/>
        <w:gridCol w:w="720"/>
        <w:gridCol w:w="1168"/>
        <w:gridCol w:w="11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2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  <w:t>项目支出绩效自评表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项目名称：</w:t>
            </w:r>
          </w:p>
        </w:tc>
        <w:tc>
          <w:tcPr>
            <w:tcW w:w="22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疑难信访专项经费</w:t>
            </w:r>
          </w:p>
        </w:tc>
        <w:tc>
          <w:tcPr>
            <w:tcW w:w="10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年度：</w:t>
            </w:r>
          </w:p>
        </w:tc>
        <w:tc>
          <w:tcPr>
            <w:tcW w:w="3915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2022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主管部门：</w:t>
            </w: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乐山市金口河区信访局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实施单位：</w:t>
            </w:r>
          </w:p>
        </w:tc>
        <w:tc>
          <w:tcPr>
            <w:tcW w:w="391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乐山市金口河区信访局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35" w:type="dxa"/>
            <w:gridSpan w:val="9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项目资金（万元）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4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全年预算数</w:t>
            </w:r>
          </w:p>
        </w:tc>
        <w:tc>
          <w:tcPr>
            <w:tcW w:w="193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全年执行数</w:t>
            </w:r>
          </w:p>
        </w:tc>
        <w:tc>
          <w:tcPr>
            <w:tcW w:w="306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预算执行率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4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年度资金总额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20</w:t>
            </w:r>
          </w:p>
        </w:tc>
        <w:tc>
          <w:tcPr>
            <w:tcW w:w="19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11.37</w:t>
            </w:r>
          </w:p>
        </w:tc>
        <w:tc>
          <w:tcPr>
            <w:tcW w:w="306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0.5685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4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其中：财政拨款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20</w:t>
            </w:r>
          </w:p>
        </w:tc>
        <w:tc>
          <w:tcPr>
            <w:tcW w:w="19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11.37</w:t>
            </w:r>
          </w:p>
        </w:tc>
        <w:tc>
          <w:tcPr>
            <w:tcW w:w="306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0.5685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4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其他资金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9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306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#DIV/0!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年度总体目标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预期目标</w:t>
            </w:r>
          </w:p>
        </w:tc>
        <w:tc>
          <w:tcPr>
            <w:tcW w:w="391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实际完成情况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0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协调处理跨乡、镇和部门的重要信访问题，协调处理群众集体到京、省、市、区及有关部门的上访和异常、突发信访事件，处理历史遗留疑难信访问题。</w:t>
            </w:r>
          </w:p>
        </w:tc>
        <w:tc>
          <w:tcPr>
            <w:tcW w:w="3915" w:type="dxa"/>
            <w:gridSpan w:val="4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协调处理跨乡、镇和部门的重要信访问题，协调处理群众集体到京、省、市、区及有关部门的上访和异常、突发信访事件，处理历史遗留疑难信访问题。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0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一级指标</w:t>
            </w:r>
          </w:p>
        </w:tc>
        <w:tc>
          <w:tcPr>
            <w:tcW w:w="130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二级指标</w:t>
            </w:r>
          </w:p>
        </w:tc>
        <w:tc>
          <w:tcPr>
            <w:tcW w:w="9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三级指标</w:t>
            </w:r>
          </w:p>
        </w:tc>
        <w:tc>
          <w:tcPr>
            <w:tcW w:w="10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年度指标值</w:t>
            </w:r>
          </w:p>
        </w:tc>
        <w:tc>
          <w:tcPr>
            <w:tcW w:w="8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实际完成值</w:t>
            </w:r>
          </w:p>
        </w:tc>
        <w:tc>
          <w:tcPr>
            <w:tcW w:w="7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分值/权重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（百分制）</w:t>
            </w:r>
          </w:p>
        </w:tc>
        <w:tc>
          <w:tcPr>
            <w:tcW w:w="11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得分</w:t>
            </w: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扣分原因分析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175" w:type="dxa"/>
            <w:gridSpan w:val="6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得    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100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90.44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部分资金未及时支付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24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预算执行率（10分）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100%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56.85%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11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5.69</w:t>
            </w: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部分资金未及时支付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产出指标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数量指标</w:t>
            </w:r>
          </w:p>
        </w:tc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质量指标</w:t>
            </w:r>
          </w:p>
        </w:tc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时效指标</w:t>
            </w:r>
          </w:p>
        </w:tc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强化疑难信访维稳时效性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100%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100%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成本指标</w:t>
            </w:r>
          </w:p>
        </w:tc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效益指标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经济效益指标</w:t>
            </w:r>
          </w:p>
        </w:tc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社会效益指标</w:t>
            </w:r>
          </w:p>
        </w:tc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社会评价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优良中差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优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生态效益指标</w:t>
            </w:r>
          </w:p>
        </w:tc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可持续影响指标</w:t>
            </w:r>
          </w:p>
        </w:tc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满意度指标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满意度指标</w:t>
            </w:r>
          </w:p>
        </w:tc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来访对象满意度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100%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85%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29.75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部分历史遗留问题未能解决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2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说明：1.预算执行率得分=全年执行数/全年预算数*10分；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      2.“产出指标、效益指标、满意度指标”一共90分，对应的是一体化系统中单位编制的项目绩效目标。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B2390A"/>
    <w:rsid w:val="5627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widowControl w:val="0"/>
      <w:spacing w:before="240" w:after="60"/>
      <w:jc w:val="center"/>
      <w:outlineLvl w:val="0"/>
    </w:pPr>
    <w:rPr>
      <w:rFonts w:ascii="Arial" w:hAnsi="Arial" w:eastAsia="宋体" w:cs="Arial"/>
      <w:bCs/>
      <w:kern w:val="2"/>
      <w:sz w:val="21"/>
      <w:szCs w:val="21"/>
      <w:lang w:val="en-US" w:eastAsia="zh-CN" w:bidi="ar-SA"/>
    </w:rPr>
  </w:style>
  <w:style w:type="paragraph" w:styleId="3">
    <w:name w:val="Normal (Web)"/>
    <w:basedOn w:val="1"/>
    <w:qFormat/>
    <w:uiPriority w:val="0"/>
    <w:pPr>
      <w:jc w:val="left"/>
    </w:pPr>
    <w:rPr>
      <w:rFonts w:ascii="Calibri" w:hAnsi="Calibri"/>
      <w:kern w:val="0"/>
      <w:sz w:val="24"/>
    </w:rPr>
  </w:style>
  <w:style w:type="character" w:styleId="6">
    <w:name w:val="Strong"/>
    <w:basedOn w:val="5"/>
    <w:qFormat/>
    <w:uiPriority w:val="99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2023-09-27T09:24:00Z</dcterms:created>
  <dc:creator>123</dc:creator>
  <cp:lastModifiedBy>123</cp:lastModifiedBy>
  <dcterms:modified xsi:type="dcterms:W3CDTF">2023-09-27T09:26:10Z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