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auto"/>
          <w:sz w:val="72"/>
          <w:szCs w:val="72"/>
          <w:highlight w:val="none"/>
        </w:rPr>
      </w:pPr>
      <w:bookmarkStart w:id="0" w:name="_Toc15377193"/>
      <w:bookmarkStart w:id="1" w:name="_Toc15396597"/>
      <w:bookmarkStart w:id="2" w:name="_Toc15306267"/>
      <w:bookmarkStart w:id="3" w:name="_Toc15396475"/>
      <w:bookmarkStart w:id="4" w:name="_Toc15377425"/>
      <w:bookmarkStart w:id="5" w:name="_Toc15378441"/>
    </w:p>
    <w:p>
      <w:pPr>
        <w:spacing w:line="600" w:lineRule="exact"/>
        <w:jc w:val="center"/>
        <w:outlineLvl w:val="0"/>
        <w:rPr>
          <w:rFonts w:ascii="方正小标宋简体" w:hAnsi="宋体" w:eastAsia="方正小标宋简体"/>
          <w:color w:val="auto"/>
          <w:sz w:val="72"/>
          <w:szCs w:val="72"/>
          <w:highlight w:val="none"/>
        </w:rPr>
      </w:pPr>
    </w:p>
    <w:bookmarkEnd w:id="0"/>
    <w:bookmarkEnd w:id="1"/>
    <w:bookmarkEnd w:id="2"/>
    <w:bookmarkEnd w:id="3"/>
    <w:bookmarkEnd w:id="4"/>
    <w:bookmarkEnd w:id="5"/>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ascii="微软雅黑" w:hAnsi="微软雅黑" w:eastAsia="微软雅黑" w:cs="微软雅黑"/>
          <w:i w:val="0"/>
          <w:iCs w:val="0"/>
          <w:caps w:val="0"/>
          <w:color w:val="000000"/>
          <w:spacing w:val="0"/>
          <w:sz w:val="24"/>
          <w:szCs w:val="24"/>
        </w:rPr>
      </w:pPr>
      <w:bookmarkStart w:id="6" w:name="_Toc15377218"/>
      <w:bookmarkStart w:id="7" w:name="_Toc15396610"/>
      <w:r>
        <w:rPr>
          <w:rFonts w:ascii="方正小标宋简体" w:hAnsi="方正小标宋简体" w:eastAsia="方正小标宋简体" w:cs="方正小标宋简体"/>
          <w:i w:val="0"/>
          <w:iCs w:val="0"/>
          <w:caps w:val="0"/>
          <w:color w:val="000000"/>
          <w:spacing w:val="0"/>
          <w:sz w:val="72"/>
          <w:szCs w:val="72"/>
        </w:rPr>
        <w:br w:type="textWrapping"/>
      </w:r>
      <w:r>
        <w:rPr>
          <w:rFonts w:hint="eastAsia" w:ascii="方正小标宋简体" w:hAnsi="方正小标宋简体" w:eastAsia="方正小标宋简体" w:cs="方正小标宋简体"/>
          <w:i w:val="0"/>
          <w:iCs w:val="0"/>
          <w:caps w:val="0"/>
          <w:color w:val="000000"/>
          <w:spacing w:val="0"/>
          <w:sz w:val="72"/>
          <w:szCs w:val="72"/>
        </w:rPr>
        <w:t>2022年度</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52"/>
          <w:szCs w:val="52"/>
        </w:rPr>
        <w:t>乐山市金口河区信访局</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52"/>
          <w:szCs w:val="52"/>
        </w:rPr>
        <w:t>部门决算</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52"/>
          <w:szCs w:val="52"/>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36"/>
          <w:szCs w:val="36"/>
        </w:rPr>
        <w:br w:type="textWrapping"/>
      </w:r>
      <w:r>
        <w:rPr>
          <w:rFonts w:ascii="黑体" w:hAnsi="宋体" w:eastAsia="黑体" w:cs="黑体"/>
          <w:i w:val="0"/>
          <w:iCs w:val="0"/>
          <w:caps w:val="0"/>
          <w:color w:val="000000"/>
          <w:spacing w:val="0"/>
          <w:sz w:val="48"/>
          <w:szCs w:val="48"/>
        </w:rPr>
        <w:t>目录</w:t>
      </w:r>
      <w:r>
        <w:rPr>
          <w:rFonts w:hint="eastAsia" w:ascii="黑体" w:hAnsi="宋体" w:eastAsia="黑体" w:cs="黑体"/>
          <w:i w:val="0"/>
          <w:iCs w:val="0"/>
          <w:caps w:val="0"/>
          <w:color w:val="000000"/>
          <w:spacing w:val="0"/>
          <w:sz w:val="28"/>
          <w:szCs w:val="28"/>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000000"/>
          <w:spacing w:val="0"/>
          <w:sz w:val="24"/>
          <w:szCs w:val="24"/>
        </w:rPr>
      </w:pPr>
      <w:r>
        <w:rPr>
          <w:rFonts w:ascii="仿宋" w:hAnsi="仿宋" w:eastAsia="仿宋" w:cs="仿宋"/>
          <w:i w:val="0"/>
          <w:iCs w:val="0"/>
          <w:caps w:val="0"/>
          <w:color w:val="000000"/>
          <w:spacing w:val="0"/>
          <w:sz w:val="28"/>
          <w:szCs w:val="28"/>
        </w:rPr>
        <w:t>公开时间：</w:t>
      </w:r>
      <w:r>
        <w:rPr>
          <w:rFonts w:hint="eastAsia" w:ascii="仿宋" w:hAnsi="仿宋" w:eastAsia="仿宋" w:cs="仿宋"/>
          <w:i w:val="0"/>
          <w:iCs w:val="0"/>
          <w:caps w:val="0"/>
          <w:color w:val="000000"/>
          <w:spacing w:val="0"/>
          <w:sz w:val="28"/>
          <w:szCs w:val="28"/>
        </w:rPr>
        <w:t>2023年</w:t>
      </w:r>
      <w:r>
        <w:rPr>
          <w:rFonts w:hint="eastAsia" w:ascii="仿宋" w:hAnsi="仿宋" w:eastAsia="仿宋" w:cs="仿宋"/>
          <w:i w:val="0"/>
          <w:iCs w:val="0"/>
          <w:caps w:val="0"/>
          <w:color w:val="000000"/>
          <w:spacing w:val="0"/>
          <w:sz w:val="28"/>
          <w:szCs w:val="28"/>
          <w:lang w:val="en-US" w:eastAsia="zh-CN"/>
        </w:rPr>
        <w:t>9</w:t>
      </w:r>
      <w:r>
        <w:rPr>
          <w:rFonts w:hint="eastAsia" w:ascii="仿宋" w:hAnsi="仿宋" w:eastAsia="仿宋" w:cs="仿宋"/>
          <w:i w:val="0"/>
          <w:iCs w:val="0"/>
          <w:caps w:val="0"/>
          <w:color w:val="000000"/>
          <w:spacing w:val="0"/>
          <w:sz w:val="28"/>
          <w:szCs w:val="28"/>
        </w:rPr>
        <w:t> 月 </w:t>
      </w:r>
      <w:r>
        <w:rPr>
          <w:rFonts w:hint="eastAsia" w:ascii="仿宋" w:hAnsi="仿宋" w:eastAsia="仿宋" w:cs="仿宋"/>
          <w:i w:val="0"/>
          <w:iCs w:val="0"/>
          <w:caps w:val="0"/>
          <w:color w:val="000000"/>
          <w:spacing w:val="0"/>
          <w:sz w:val="28"/>
          <w:szCs w:val="28"/>
          <w:lang w:val="en-US" w:eastAsia="zh-CN"/>
        </w:rPr>
        <w:t>28</w:t>
      </w:r>
      <w:r>
        <w:rPr>
          <w:rFonts w:hint="eastAsia" w:ascii="仿宋" w:hAnsi="仿宋" w:eastAsia="仿宋" w:cs="仿宋"/>
          <w:i w:val="0"/>
          <w:iCs w:val="0"/>
          <w:caps w:val="0"/>
          <w:color w:val="000000"/>
          <w:spacing w:val="0"/>
          <w:sz w:val="28"/>
          <w:szCs w:val="28"/>
        </w:rPr>
        <w:t>日</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24"/>
          <w:szCs w:val="24"/>
        </w:rPr>
        <w:t>第一部分 部门概况···················································4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一、部门职责····················································</w:t>
      </w:r>
      <w:r>
        <w:rPr>
          <w:rFonts w:hint="default" w:ascii="Times New Roman" w:hAnsi="Times New Roman" w:eastAsia="宋体" w:cs="Times New Roman"/>
          <w:i w:val="0"/>
          <w:iCs w:val="0"/>
          <w:caps w:val="0"/>
          <w:color w:val="000000"/>
          <w:spacing w:val="0"/>
          <w:sz w:val="24"/>
          <w:szCs w:val="24"/>
        </w:rPr>
        <w:t>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二、机构设置·····················································</w:t>
      </w:r>
      <w:r>
        <w:rPr>
          <w:rFonts w:hint="default" w:ascii="Times New Roman" w:hAnsi="Times New Roman" w:eastAsia="宋体" w:cs="Times New Roman"/>
          <w:i w:val="0"/>
          <w:iCs w:val="0"/>
          <w:caps w:val="0"/>
          <w:color w:val="000000"/>
          <w:spacing w:val="0"/>
          <w:sz w:val="24"/>
          <w:szCs w:val="24"/>
        </w:rPr>
        <w:t>5</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24"/>
          <w:szCs w:val="24"/>
        </w:rPr>
        <w:t>第二部分 2022年度部门决算情况说明··································5</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一、收入支出决算总体情况说明····································</w:t>
      </w:r>
      <w:r>
        <w:rPr>
          <w:rFonts w:hint="default" w:ascii="Times New Roman" w:hAnsi="Times New Roman" w:eastAsia="宋体" w:cs="Times New Roman"/>
          <w:i w:val="0"/>
          <w:iCs w:val="0"/>
          <w:caps w:val="0"/>
          <w:color w:val="000000"/>
          <w:spacing w:val="0"/>
          <w:sz w:val="24"/>
          <w:szCs w:val="24"/>
        </w:rPr>
        <w:t>5</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二、收入决算情况说明············································</w:t>
      </w:r>
      <w:r>
        <w:rPr>
          <w:rFonts w:hint="default" w:ascii="Times New Roman" w:hAnsi="Times New Roman" w:eastAsia="宋体" w:cs="Times New Roman"/>
          <w:i w:val="0"/>
          <w:iCs w:val="0"/>
          <w:caps w:val="0"/>
          <w:color w:val="000000"/>
          <w:spacing w:val="0"/>
          <w:sz w:val="24"/>
          <w:szCs w:val="24"/>
        </w:rPr>
        <w:t>6</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三、支出决算情况说明</w:t>
      </w:r>
      <w:r>
        <w:rPr>
          <w:rFonts w:hint="eastAsia" w:ascii="仿宋" w:hAnsi="仿宋" w:eastAsia="仿宋" w:cs="仿宋"/>
          <w:i w:val="0"/>
          <w:iCs w:val="0"/>
          <w:caps w:val="0"/>
          <w:color w:val="000000"/>
          <w:spacing w:val="0"/>
          <w:sz w:val="24"/>
          <w:szCs w:val="24"/>
        </w:rPr>
        <w:t>············································6</w:t>
      </w:r>
      <w:r>
        <w:rPr>
          <w:rFonts w:hint="eastAsia" w:ascii="宋体" w:hAnsi="宋体" w:eastAsia="宋体" w:cs="宋体"/>
          <w:i w:val="0"/>
          <w:iCs w:val="0"/>
          <w:caps w:val="0"/>
          <w:color w:val="000000"/>
          <w:spacing w:val="0"/>
          <w:sz w:val="24"/>
          <w:szCs w:val="24"/>
        </w:rPr>
        <w:t>四、财政拨款收入支出决算总体情况说明····························</w:t>
      </w:r>
      <w:r>
        <w:rPr>
          <w:rFonts w:hint="default" w:ascii="Times New Roman" w:hAnsi="Times New Roman" w:eastAsia="宋体" w:cs="Times New Roman"/>
          <w:i w:val="0"/>
          <w:iCs w:val="0"/>
          <w:caps w:val="0"/>
          <w:color w:val="000000"/>
          <w:spacing w:val="0"/>
          <w:sz w:val="24"/>
          <w:szCs w:val="24"/>
        </w:rPr>
        <w:t>7</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五、一般公共预算财政拨款支出决算情况说明·························</w:t>
      </w:r>
      <w:r>
        <w:rPr>
          <w:rFonts w:hint="default" w:ascii="Times New Roman" w:hAnsi="Times New Roman" w:eastAsia="宋体" w:cs="Times New Roman"/>
          <w:i w:val="0"/>
          <w:iCs w:val="0"/>
          <w:caps w:val="0"/>
          <w:color w:val="000000"/>
          <w:spacing w:val="0"/>
          <w:sz w:val="24"/>
          <w:szCs w:val="24"/>
        </w:rPr>
        <w:t>7</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六、一般公共预算财政拨款基本支出决算情况说明····················</w:t>
      </w:r>
      <w:r>
        <w:rPr>
          <w:rFonts w:hint="default" w:ascii="Times New Roman" w:hAnsi="Times New Roman" w:eastAsia="宋体" w:cs="Times New Roman"/>
          <w:i w:val="0"/>
          <w:iCs w:val="0"/>
          <w:caps w:val="0"/>
          <w:color w:val="000000"/>
          <w:spacing w:val="0"/>
          <w:sz w:val="24"/>
          <w:szCs w:val="24"/>
        </w:rPr>
        <w:t>10</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七、财政拨款“三公”经费支出决算情况说明·······················</w:t>
      </w:r>
      <w:r>
        <w:rPr>
          <w:rFonts w:hint="default" w:ascii="Times New Roman" w:hAnsi="Times New Roman" w:eastAsia="宋体" w:cs="Times New Roman"/>
          <w:i w:val="0"/>
          <w:iCs w:val="0"/>
          <w:caps w:val="0"/>
          <w:color w:val="000000"/>
          <w:spacing w:val="0"/>
          <w:sz w:val="24"/>
          <w:szCs w:val="24"/>
        </w:rPr>
        <w:t>11</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八、政府性基金预算支出决算情况说明·····························</w:t>
      </w:r>
      <w:r>
        <w:rPr>
          <w:rFonts w:hint="default" w:ascii="Times New Roman" w:hAnsi="Times New Roman" w:eastAsia="宋体" w:cs="Times New Roman"/>
          <w:i w:val="0"/>
          <w:iCs w:val="0"/>
          <w:caps w:val="0"/>
          <w:color w:val="000000"/>
          <w:spacing w:val="0"/>
          <w:sz w:val="24"/>
          <w:szCs w:val="24"/>
        </w:rPr>
        <w:t>13</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九、国有资本经营预算支出决算情况说明···························13</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十、其他重要事项的情况说明</w:t>
      </w:r>
      <w:r>
        <w:rPr>
          <w:rFonts w:hint="eastAsia" w:ascii="微软雅黑" w:hAnsi="微软雅黑" w:eastAsia="微软雅黑" w:cs="微软雅黑"/>
          <w:i w:val="0"/>
          <w:iCs w:val="0"/>
          <w:caps w:val="0"/>
          <w:color w:val="000000"/>
          <w:spacing w:val="0"/>
          <w:sz w:val="24"/>
          <w:szCs w:val="24"/>
        </w:rPr>
        <w:t> </w:t>
      </w:r>
      <w:r>
        <w:rPr>
          <w:rFonts w:hint="eastAsia" w:ascii="宋体" w:hAnsi="宋体" w:eastAsia="宋体" w:cs="宋体"/>
          <w:i w:val="0"/>
          <w:iCs w:val="0"/>
          <w:caps w:val="0"/>
          <w:color w:val="000000"/>
          <w:spacing w:val="0"/>
          <w:sz w:val="24"/>
          <w:szCs w:val="24"/>
        </w:rPr>
        <w:t>···································13</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24"/>
          <w:szCs w:val="24"/>
        </w:rPr>
        <w:t>第三部分 名词解释·················································16</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24"/>
          <w:szCs w:val="24"/>
        </w:rPr>
        <w:t>第四部分 附件·····················································19</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24"/>
          <w:szCs w:val="24"/>
        </w:rPr>
        <w:t>第五部分 附表·····················································34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一、收入支出决算总表··········································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二、收入决算表················································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三、支出决算表················································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四、财政拨款收入支出决算总表··································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五、财政拨款支出决算明细表····································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六、一般公共预算财政拨款支出决算表····························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七、一般公共预算财政拨款支出决算明细表························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八、一般公共预算财政拨款基本支出决算明细表····················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九、一般公共预算财政拨款项目支出决算表························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十、政府性基金预算财政拨款收入支出决算表·····················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十一、国有资本经营预算财政拨款收入支出决算表·················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十二、国有资本经营预算财政拨款支出决算表·····················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十三、财政拨款“三公”经费支出决算表·························</w:t>
      </w:r>
      <w:r>
        <w:rPr>
          <w:rFonts w:hint="default" w:ascii="Times New Roman" w:hAnsi="Times New Roman" w:eastAsia="宋体" w:cs="Times New Roman"/>
          <w:i w:val="0"/>
          <w:iCs w:val="0"/>
          <w:caps w:val="0"/>
          <w:color w:val="000000"/>
          <w:spacing w:val="0"/>
          <w:sz w:val="24"/>
          <w:szCs w:val="24"/>
        </w:rPr>
        <w:t>34</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132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24"/>
          <w:szCs w:val="24"/>
        </w:rPr>
        <w:t>（注：请部门根据实际注明页码)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b/>
          <w:bCs/>
          <w:i w:val="0"/>
          <w:iCs w:val="0"/>
          <w:caps w:val="0"/>
          <w:color w:val="000000"/>
          <w:spacing w:val="0"/>
          <w:sz w:val="43"/>
          <w:szCs w:val="43"/>
        </w:rPr>
        <w:t>第一部分 </w:t>
      </w:r>
      <w:r>
        <w:rPr>
          <w:rFonts w:hint="eastAsia" w:ascii="黑体" w:hAnsi="宋体" w:eastAsia="黑体" w:cs="黑体"/>
          <w:b w:val="0"/>
          <w:bCs w:val="0"/>
          <w:i w:val="0"/>
          <w:iCs w:val="0"/>
          <w:caps w:val="0"/>
          <w:color w:val="000000"/>
          <w:spacing w:val="0"/>
          <w:sz w:val="43"/>
          <w:szCs w:val="43"/>
        </w:rPr>
        <w:t>部门概况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黑体" w:hAnsi="宋体" w:eastAsia="黑体" w:cs="黑体"/>
          <w:b/>
          <w:bCs/>
          <w:i w:val="0"/>
          <w:iCs w:val="0"/>
          <w:caps w:val="0"/>
          <w:color w:val="000000"/>
          <w:spacing w:val="0"/>
          <w:sz w:val="31"/>
          <w:szCs w:val="31"/>
        </w:rPr>
        <w:t>一、部门职责</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600" w:lineRule="atLeast"/>
        <w:ind w:left="0" w:right="0" w:firstLine="645"/>
        <w:rPr>
          <w:rFonts w:hint="eastAsia" w:ascii="宋体" w:hAnsi="宋体" w:eastAsia="宋体" w:cs="宋体"/>
          <w:i w:val="0"/>
          <w:iCs w:val="0"/>
          <w:caps w:val="0"/>
          <w:color w:val="000000"/>
          <w:spacing w:val="0"/>
          <w:sz w:val="24"/>
          <w:szCs w:val="24"/>
        </w:rPr>
      </w:pPr>
      <w:r>
        <w:rPr>
          <w:rFonts w:ascii="仿宋_GB2312" w:hAnsi="微软雅黑" w:eastAsia="仿宋_GB2312" w:cs="仿宋_GB2312"/>
          <w:i w:val="0"/>
          <w:iCs w:val="0"/>
          <w:caps w:val="0"/>
          <w:color w:val="000000"/>
          <w:spacing w:val="0"/>
          <w:sz w:val="31"/>
          <w:szCs w:val="31"/>
        </w:rPr>
        <w:t>负责处理金口河区内外群众给金口河区委、区人民政府的来信，接待群众来访，保证信访渠道畅通，及时、准确地向金口河区委、区人民政府领导反映来信来访中提出的重要建议、意见和问题，综合分析信访信息，开展调查研究，提出完善政策的建议；</w:t>
      </w:r>
      <w:r>
        <w:rPr>
          <w:rFonts w:hint="eastAsia" w:ascii="仿宋_GB2312" w:hAnsi="微软雅黑" w:eastAsia="仿宋_GB2312" w:cs="仿宋_GB2312"/>
          <w:i w:val="0"/>
          <w:iCs w:val="0"/>
          <w:caps w:val="0"/>
          <w:color w:val="000000"/>
          <w:spacing w:val="0"/>
          <w:sz w:val="31"/>
          <w:szCs w:val="31"/>
        </w:rPr>
        <w:t>承办上级党委、政府和金口河区委、区政府交办的信访事项，督促检查指导有关信访指示的落实情况，向各乡（彝族乡）、镇和区级各部门交办信访事项，督促检查重要信访事项的处理和落实；协调处理跨乡、镇和部门的重要信访问题，协调处理群众集体到京、省、市、区及有关部门的上访和异常、突发信访事件，检查、指导、协调区级各部门和乡（彝族乡）、镇党政机关的信访工作；总结推广各乡（彝族乡）、镇、各部门信访工作的经验，提出改进和加强信访工作的意见和建议，通报重大信访问题和信访事件；了解掌握金口河区信访工作队伍建设情况，组织信访干部的培训，指导做好全区信访办公自动化建设；负责信访工作的宣传和信息发布，协调信访工作对外交流和联络。完成区委、区政府交办的其他任务</w:t>
      </w:r>
      <w:r>
        <w:rPr>
          <w:rFonts w:hint="eastAsia" w:ascii="宋体" w:hAnsi="宋体" w:eastAsia="宋体" w:cs="宋体"/>
          <w:i w:val="0"/>
          <w:iCs w:val="0"/>
          <w:caps w:val="0"/>
          <w:color w:val="000000"/>
          <w:spacing w:val="0"/>
          <w:sz w:val="24"/>
          <w:szCs w:val="24"/>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黑体" w:hAnsi="宋体" w:eastAsia="黑体" w:cs="黑体"/>
          <w:b/>
          <w:bCs/>
          <w:i w:val="0"/>
          <w:iCs w:val="0"/>
          <w:caps w:val="0"/>
          <w:color w:val="000000"/>
          <w:spacing w:val="0"/>
          <w:sz w:val="31"/>
          <w:szCs w:val="31"/>
        </w:rPr>
        <w:t>二、机</w:t>
      </w:r>
      <w:r>
        <w:rPr>
          <w:rFonts w:hint="eastAsia" w:ascii="黑体" w:hAnsi="宋体" w:eastAsia="黑体" w:cs="黑体"/>
          <w:b w:val="0"/>
          <w:bCs w:val="0"/>
          <w:i w:val="0"/>
          <w:iCs w:val="0"/>
          <w:caps w:val="0"/>
          <w:color w:val="000000"/>
          <w:spacing w:val="0"/>
          <w:sz w:val="31"/>
          <w:szCs w:val="31"/>
        </w:rPr>
        <w:t>构设置</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9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区信访局下属二级预算单位0个，其中行政单位0个，参照公务员法管理的事业单位0个，其他事业单位0个。</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0" w:afterAutospacing="0" w:line="600" w:lineRule="atLeast"/>
        <w:ind w:left="0" w:right="0" w:firstLine="67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纳入区信访局2022年度部门决算编制范围的二级预算单位包括：无。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435" w:firstLine="0"/>
        <w:jc w:val="center"/>
        <w:rPr>
          <w:rFonts w:hint="eastAsia" w:ascii="微软雅黑" w:hAnsi="微软雅黑" w:eastAsia="微软雅黑" w:cs="微软雅黑"/>
          <w:b/>
          <w:bCs/>
          <w:i w:val="0"/>
          <w:iCs w:val="0"/>
          <w:caps w:val="0"/>
          <w:color w:val="000000"/>
          <w:spacing w:val="0"/>
          <w:sz w:val="48"/>
          <w:szCs w:val="48"/>
        </w:rPr>
      </w:pPr>
      <w:r>
        <w:rPr>
          <w:rFonts w:hint="eastAsia" w:ascii="黑体" w:hAnsi="宋体" w:eastAsia="黑体" w:cs="黑体"/>
          <w:b/>
          <w:bCs/>
          <w:i w:val="0"/>
          <w:iCs w:val="0"/>
          <w:caps w:val="0"/>
          <w:color w:val="000000"/>
          <w:spacing w:val="0"/>
          <w:sz w:val="43"/>
          <w:szCs w:val="43"/>
        </w:rPr>
        <w:t>第二部分 2022年度部门决算情况说明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000000"/>
          <w:spacing w:val="0"/>
          <w:sz w:val="24"/>
          <w:szCs w:val="24"/>
        </w:rPr>
      </w:pPr>
      <w:r>
        <w:rPr>
          <w:rFonts w:hint="default" w:ascii="Times New Roman" w:hAnsi="Times New Roman" w:eastAsia="微软雅黑" w:cs="Times New Roman"/>
          <w:i w:val="0"/>
          <w:iCs w:val="0"/>
          <w:caps w:val="0"/>
          <w:color w:val="000000"/>
          <w:spacing w:val="0"/>
          <w:sz w:val="21"/>
          <w:szCs w:val="21"/>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365" w:right="0" w:firstLine="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一、 收入支出决算总体情况说明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2022年度收、支总计251.8万元。与2021年相比，收、支总计各增加22.86万元，增长9.99%。主要变动原因是调入1人导致人员经费增加，此外项目经费支出较上年有所增加。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仿宋" w:hAnsi="仿宋" w:eastAsia="仿宋" w:cs="仿宋"/>
          <w:i w:val="0"/>
          <w:iCs w:val="0"/>
          <w:caps w:val="0"/>
          <w:color w:val="000000"/>
          <w:spacing w:val="0"/>
          <w:sz w:val="31"/>
          <w:szCs w:val="31"/>
        </w:rPr>
      </w:pP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仿宋" w:hAnsi="仿宋" w:eastAsia="仿宋" w:cs="仿宋"/>
          <w:i w:val="0"/>
          <w:iCs w:val="0"/>
          <w:caps w:val="0"/>
          <w:color w:val="000000"/>
          <w:spacing w:val="0"/>
          <w:sz w:val="31"/>
          <w:szCs w:val="31"/>
        </w:rPr>
      </w:pPr>
      <w:r>
        <w:rPr>
          <w:rFonts w:hint="eastAsia" w:eastAsia="仿宋_GB2312"/>
          <w:lang w:eastAsia="zh-CN"/>
        </w:rPr>
        <w:drawing>
          <wp:anchor distT="0" distB="0" distL="114300" distR="114300" simplePos="0" relativeHeight="251659264" behindDoc="1" locked="0" layoutInCell="1" allowOverlap="1">
            <wp:simplePos x="0" y="0"/>
            <wp:positionH relativeFrom="column">
              <wp:posOffset>387985</wp:posOffset>
            </wp:positionH>
            <wp:positionV relativeFrom="paragraph">
              <wp:posOffset>-619760</wp:posOffset>
            </wp:positionV>
            <wp:extent cx="4657725" cy="2196465"/>
            <wp:effectExtent l="4445" t="5080" r="5080" b="825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仿宋" w:hAnsi="仿宋" w:eastAsia="仿宋" w:cs="仿宋"/>
          <w:i w:val="0"/>
          <w:iCs w:val="0"/>
          <w:caps w:val="0"/>
          <w:color w:val="000000"/>
          <w:spacing w:val="0"/>
          <w:sz w:val="31"/>
          <w:szCs w:val="31"/>
        </w:rPr>
      </w:pP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仿宋" w:hAnsi="仿宋" w:eastAsia="仿宋" w:cs="仿宋"/>
          <w:i w:val="0"/>
          <w:iCs w:val="0"/>
          <w:caps w:val="0"/>
          <w:color w:val="000000"/>
          <w:spacing w:val="0"/>
          <w:sz w:val="31"/>
          <w:szCs w:val="31"/>
        </w:rPr>
      </w:pP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rPr>
          <w:rFonts w:hint="eastAsia" w:ascii="仿宋" w:hAnsi="仿宋" w:eastAsia="仿宋" w:cs="仿宋"/>
          <w:i w:val="0"/>
          <w:iCs w:val="0"/>
          <w:caps w:val="0"/>
          <w:color w:val="000000"/>
          <w:spacing w:val="0"/>
          <w:sz w:val="31"/>
          <w:szCs w:val="31"/>
        </w:rPr>
      </w:pP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黑体" w:hAnsi="宋体" w:eastAsia="黑体" w:cs="黑体"/>
          <w:i w:val="0"/>
          <w:iCs w:val="0"/>
          <w:caps w:val="0"/>
          <w:color w:val="000000"/>
          <w:spacing w:val="0"/>
          <w:sz w:val="31"/>
          <w:szCs w:val="31"/>
        </w:rPr>
      </w:pPr>
      <w:r>
        <w:rPr>
          <w:rFonts w:hint="eastAsia" w:ascii="仿宋" w:hAnsi="仿宋" w:eastAsia="仿宋" w:cs="仿宋"/>
          <w:i w:val="0"/>
          <w:iCs w:val="0"/>
          <w:caps w:val="0"/>
          <w:color w:val="000000"/>
          <w:spacing w:val="0"/>
          <w:sz w:val="31"/>
          <w:szCs w:val="31"/>
        </w:rPr>
        <w:t>（图1：收、支决算总计变动情况图）（柱状图）</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firstLine="620" w:firstLineChars="20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二、 收入决算情况说明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2022年本年收入合计251.72万元，其中：一般公共预算财政拨款收入251.71万元，占100%；政府性基金预算财政拨款收入0万元，占0%；国有资本经营预算财政拨款收入0万元，占0%；上级补助收入0万元，占0%；事业收入0万元，占0%；经营收入0万元，占0%；附属单位上缴收入0万元，占0%；其他收入0.01万元，占0%。</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（注：数据来源于财决01表，仅罗列本部门涉及的收入。）</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 </w:t>
      </w:r>
      <w:r>
        <w:rPr>
          <w:rFonts w:hint="eastAsia" w:eastAsia="仿宋_GB2312"/>
          <w:lang w:eastAsia="zh-CN"/>
        </w:rPr>
        <w:drawing>
          <wp:inline distT="0" distB="0" distL="114300" distR="114300">
            <wp:extent cx="5080000" cy="2300605"/>
            <wp:effectExtent l="4445" t="4445" r="20955" b="190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（图2：收入决算结构图）（饼状图）</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365" w:right="0" w:firstLine="0"/>
        <w:rPr>
          <w:rFonts w:hint="eastAsia" w:ascii="黑体" w:hAnsi="宋体" w:eastAsia="黑体" w:cs="黑体"/>
          <w:i w:val="0"/>
          <w:iCs w:val="0"/>
          <w:caps w:val="0"/>
          <w:color w:val="000000"/>
          <w:spacing w:val="0"/>
          <w:sz w:val="31"/>
          <w:szCs w:val="31"/>
        </w:rPr>
      </w:pP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365" w:right="0" w:firstLine="0"/>
        <w:rPr>
          <w:rFonts w:hint="eastAsia" w:ascii="黑体" w:hAnsi="宋体" w:eastAsia="黑体" w:cs="黑体"/>
          <w:i w:val="0"/>
          <w:iCs w:val="0"/>
          <w:caps w:val="0"/>
          <w:color w:val="000000"/>
          <w:spacing w:val="0"/>
          <w:sz w:val="31"/>
          <w:szCs w:val="31"/>
        </w:rPr>
      </w:pP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firstLine="620" w:firstLineChars="20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三、 支出决算情况说明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2022年本年支出合计251.74万元，其中：基本支出211.89万元，占84.17%；项目支出39.85万元，占15.83%；上缴上级支出0万元，占0%；经营支出0万元，占0%；对附属单位补助支出0万元，占0%。</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（注：数据来源于财决04表，仅罗列本部门涉及的支出。）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7F7F7F"/>
        </w:rPr>
        <w:t> </w:t>
      </w:r>
      <w:r>
        <w:rPr>
          <w:rFonts w:hint="eastAsia" w:ascii="仿宋" w:hAnsi="仿宋" w:eastAsia="仿宋"/>
          <w:sz w:val="32"/>
          <w:szCs w:val="32"/>
          <w:lang w:eastAsia="zh-CN"/>
        </w:rPr>
        <w:drawing>
          <wp:inline distT="0" distB="0" distL="114300" distR="114300">
            <wp:extent cx="5080000" cy="2169160"/>
            <wp:effectExtent l="4445" t="4445" r="20955" b="1714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（图3：支出决算结构图）（饼状图）</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四、财政拨款收入支出决算总体情况说明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2022年财政拨款收、支总计251.71万元。与2021年相比，财政拨款收、支总计各增加22.77万元，增长9.95%。主要变动原因是调入1人导致人员经费增加，此外项目经费支出较上年有所增加。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（注：数据来源于财决01-1表）</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仿宋" w:hAnsi="仿宋" w:eastAsia="仿宋" w:cs="仿宋"/>
          <w:i w:val="0"/>
          <w:iCs w:val="0"/>
          <w:caps w:val="0"/>
          <w:color w:val="000000"/>
          <w:spacing w:val="0"/>
          <w:sz w:val="31"/>
          <w:szCs w:val="31"/>
        </w:rPr>
      </w:pP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仿宋" w:hAnsi="仿宋" w:eastAsia="仿宋" w:cs="仿宋"/>
          <w:i w:val="0"/>
          <w:iCs w:val="0"/>
          <w:caps w:val="0"/>
          <w:color w:val="000000"/>
          <w:spacing w:val="0"/>
          <w:sz w:val="31"/>
          <w:szCs w:val="31"/>
        </w:rPr>
      </w:pPr>
      <w:r>
        <w:rPr>
          <w:rFonts w:hint="eastAsia" w:eastAsia="仿宋_GB2312"/>
          <w:lang w:eastAsia="zh-CN"/>
        </w:rPr>
        <w:drawing>
          <wp:inline distT="0" distB="0" distL="114300" distR="114300">
            <wp:extent cx="4657725" cy="1805305"/>
            <wp:effectExtent l="4445" t="5080" r="5080" b="1841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（图4：财政拨款收、支决算总计变动情况）（柱状图）</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五、</w:t>
      </w:r>
      <w:r>
        <w:rPr>
          <w:rStyle w:val="18"/>
          <w:rFonts w:hint="eastAsia" w:ascii="黑体" w:hAnsi="宋体" w:eastAsia="黑体" w:cs="黑体"/>
          <w:i w:val="0"/>
          <w:iCs w:val="0"/>
          <w:caps w:val="0"/>
          <w:color w:val="000000"/>
          <w:spacing w:val="0"/>
          <w:sz w:val="31"/>
          <w:szCs w:val="31"/>
        </w:rPr>
        <w:t>一</w:t>
      </w:r>
      <w:r>
        <w:rPr>
          <w:rFonts w:hint="eastAsia" w:ascii="黑体" w:hAnsi="宋体" w:eastAsia="黑体" w:cs="黑体"/>
          <w:i w:val="0"/>
          <w:iCs w:val="0"/>
          <w:caps w:val="0"/>
          <w:color w:val="000000"/>
          <w:spacing w:val="0"/>
          <w:sz w:val="31"/>
          <w:szCs w:val="31"/>
        </w:rPr>
        <w:t>般公共预算财政拨款支出决算情况说明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（一）一般公共预算财政拨款支出决算总体情况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2022年一般公共预算财政拨款支出251.71万元，占本年支出合计的99.99%。与2021年相比，一般公共预算财政拨款支出增加22.77万元，增长9.95*%。主要变动原因是调入1人导致人员经费增加，此外项目经费支出较上年有所增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rPr>
          <w:rFonts w:hint="eastAsia" w:ascii="微软雅黑" w:hAnsi="微软雅黑" w:eastAsia="微软雅黑" w:cs="微软雅黑"/>
          <w:i w:val="0"/>
          <w:iCs w:val="0"/>
          <w:caps w:val="0"/>
          <w:color w:val="000000"/>
          <w:spacing w:val="0"/>
          <w:sz w:val="24"/>
          <w:szCs w:val="24"/>
        </w:rPr>
      </w:pPr>
      <w:r>
        <w:rPr>
          <w:rFonts w:ascii="Arial" w:hAnsi="Arial" w:eastAsia="微软雅黑" w:cs="Arial"/>
          <w:i w:val="0"/>
          <w:iCs w:val="0"/>
          <w:caps w:val="0"/>
          <w:color w:val="000000"/>
          <w:spacing w:val="0"/>
          <w:sz w:val="21"/>
          <w:szCs w:val="21"/>
        </w:rPr>
        <w:t> </w:t>
      </w:r>
      <w:r>
        <w:rPr>
          <w:rFonts w:hint="eastAsia" w:eastAsia="仿宋_GB2312"/>
          <w:lang w:eastAsia="zh-CN"/>
        </w:rPr>
        <w:drawing>
          <wp:inline distT="0" distB="0" distL="114300" distR="114300">
            <wp:extent cx="4657725" cy="1517650"/>
            <wp:effectExtent l="4445" t="5080" r="5080" b="2032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（图5：一般公共预算财政拨款支出决算变动情况）（柱状图）</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（二）一般公共预算财政拨款支出决算结构情况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2022年一般公共预算财政拨款支出251.71万元，主要用于以下方面：</w:t>
      </w:r>
      <w:r>
        <w:rPr>
          <w:rStyle w:val="18"/>
          <w:rFonts w:hint="eastAsia" w:ascii="仿宋" w:hAnsi="仿宋" w:eastAsia="仿宋" w:cs="仿宋"/>
          <w:i w:val="0"/>
          <w:iCs w:val="0"/>
          <w:caps w:val="0"/>
          <w:color w:val="000000"/>
          <w:spacing w:val="0"/>
          <w:sz w:val="31"/>
          <w:szCs w:val="31"/>
        </w:rPr>
        <w:t>一般公共服务支出</w:t>
      </w:r>
      <w:r>
        <w:rPr>
          <w:rFonts w:hint="eastAsia" w:ascii="仿宋" w:hAnsi="仿宋" w:eastAsia="仿宋" w:cs="仿宋"/>
          <w:i w:val="0"/>
          <w:iCs w:val="0"/>
          <w:caps w:val="0"/>
          <w:color w:val="000000"/>
          <w:spacing w:val="0"/>
          <w:sz w:val="31"/>
          <w:szCs w:val="31"/>
        </w:rPr>
        <w:t>206.47万元，占82.03%；</w:t>
      </w:r>
      <w:r>
        <w:rPr>
          <w:rStyle w:val="18"/>
          <w:rFonts w:hint="eastAsia" w:ascii="仿宋" w:hAnsi="仿宋" w:eastAsia="仿宋" w:cs="仿宋"/>
          <w:i w:val="0"/>
          <w:iCs w:val="0"/>
          <w:caps w:val="0"/>
          <w:color w:val="000000"/>
          <w:spacing w:val="0"/>
          <w:sz w:val="31"/>
          <w:szCs w:val="31"/>
        </w:rPr>
        <w:t>教育支出</w:t>
      </w:r>
      <w:r>
        <w:rPr>
          <w:rFonts w:hint="eastAsia" w:ascii="仿宋" w:hAnsi="仿宋" w:eastAsia="仿宋" w:cs="仿宋"/>
          <w:i w:val="0"/>
          <w:iCs w:val="0"/>
          <w:caps w:val="0"/>
          <w:color w:val="000000"/>
          <w:spacing w:val="0"/>
          <w:sz w:val="31"/>
          <w:szCs w:val="31"/>
        </w:rPr>
        <w:t>0万元，占0%；</w:t>
      </w:r>
      <w:r>
        <w:rPr>
          <w:rStyle w:val="18"/>
          <w:rFonts w:hint="eastAsia" w:ascii="仿宋" w:hAnsi="仿宋" w:eastAsia="仿宋" w:cs="仿宋"/>
          <w:i w:val="0"/>
          <w:iCs w:val="0"/>
          <w:caps w:val="0"/>
          <w:color w:val="000000"/>
          <w:spacing w:val="0"/>
          <w:sz w:val="31"/>
          <w:szCs w:val="31"/>
        </w:rPr>
        <w:t>科学技术支出</w:t>
      </w:r>
      <w:r>
        <w:rPr>
          <w:rFonts w:hint="eastAsia" w:ascii="仿宋" w:hAnsi="仿宋" w:eastAsia="仿宋" w:cs="仿宋"/>
          <w:i w:val="0"/>
          <w:iCs w:val="0"/>
          <w:caps w:val="0"/>
          <w:color w:val="000000"/>
          <w:spacing w:val="0"/>
          <w:sz w:val="31"/>
          <w:szCs w:val="31"/>
        </w:rPr>
        <w:t>0万元，占0%；</w:t>
      </w:r>
      <w:r>
        <w:rPr>
          <w:rStyle w:val="18"/>
          <w:rFonts w:hint="eastAsia" w:ascii="仿宋" w:hAnsi="仿宋" w:eastAsia="仿宋" w:cs="仿宋"/>
          <w:i w:val="0"/>
          <w:iCs w:val="0"/>
          <w:caps w:val="0"/>
          <w:color w:val="000000"/>
          <w:spacing w:val="0"/>
          <w:sz w:val="31"/>
          <w:szCs w:val="31"/>
        </w:rPr>
        <w:t>文化旅游体育与传媒支出0万元，占0%</w:t>
      </w:r>
      <w:r>
        <w:rPr>
          <w:rFonts w:hint="eastAsia" w:ascii="仿宋" w:hAnsi="仿宋" w:eastAsia="仿宋" w:cs="仿宋"/>
          <w:i w:val="0"/>
          <w:iCs w:val="0"/>
          <w:caps w:val="0"/>
          <w:color w:val="000000"/>
          <w:spacing w:val="0"/>
          <w:sz w:val="31"/>
          <w:szCs w:val="31"/>
        </w:rPr>
        <w:t>；</w:t>
      </w:r>
      <w:r>
        <w:rPr>
          <w:rStyle w:val="18"/>
          <w:rFonts w:hint="eastAsia" w:ascii="仿宋" w:hAnsi="仿宋" w:eastAsia="仿宋" w:cs="仿宋"/>
          <w:i w:val="0"/>
          <w:iCs w:val="0"/>
          <w:caps w:val="0"/>
          <w:color w:val="000000"/>
          <w:spacing w:val="0"/>
          <w:sz w:val="31"/>
          <w:szCs w:val="31"/>
        </w:rPr>
        <w:t>社会保障和就业支出</w:t>
      </w:r>
      <w:r>
        <w:rPr>
          <w:rFonts w:hint="eastAsia" w:ascii="仿宋" w:hAnsi="仿宋" w:eastAsia="仿宋" w:cs="仿宋"/>
          <w:i w:val="0"/>
          <w:iCs w:val="0"/>
          <w:caps w:val="0"/>
          <w:color w:val="000000"/>
          <w:spacing w:val="0"/>
          <w:sz w:val="31"/>
          <w:szCs w:val="31"/>
        </w:rPr>
        <w:t>22.45万元，占8.92%；</w:t>
      </w:r>
      <w:r>
        <w:rPr>
          <w:rStyle w:val="18"/>
          <w:rFonts w:hint="eastAsia" w:ascii="仿宋" w:hAnsi="仿宋" w:eastAsia="仿宋" w:cs="仿宋"/>
          <w:i w:val="0"/>
          <w:iCs w:val="0"/>
          <w:caps w:val="0"/>
          <w:color w:val="000000"/>
          <w:spacing w:val="0"/>
          <w:sz w:val="31"/>
          <w:szCs w:val="31"/>
        </w:rPr>
        <w:t>卫生健康支出</w:t>
      </w:r>
      <w:r>
        <w:rPr>
          <w:rFonts w:hint="eastAsia" w:ascii="仿宋" w:hAnsi="仿宋" w:eastAsia="仿宋" w:cs="仿宋"/>
          <w:i w:val="0"/>
          <w:iCs w:val="0"/>
          <w:caps w:val="0"/>
          <w:color w:val="000000"/>
          <w:spacing w:val="0"/>
          <w:sz w:val="31"/>
          <w:szCs w:val="31"/>
        </w:rPr>
        <w:t>5.97万元，占2.37%；</w:t>
      </w:r>
      <w:r>
        <w:rPr>
          <w:rStyle w:val="18"/>
          <w:rFonts w:hint="eastAsia" w:ascii="仿宋" w:hAnsi="仿宋" w:eastAsia="仿宋" w:cs="仿宋"/>
          <w:i w:val="0"/>
          <w:iCs w:val="0"/>
          <w:caps w:val="0"/>
          <w:color w:val="000000"/>
          <w:spacing w:val="0"/>
          <w:sz w:val="31"/>
          <w:szCs w:val="31"/>
        </w:rPr>
        <w:t>住房保障支出</w:t>
      </w:r>
      <w:r>
        <w:rPr>
          <w:rFonts w:hint="eastAsia" w:ascii="仿宋" w:hAnsi="仿宋" w:eastAsia="仿宋" w:cs="仿宋"/>
          <w:i w:val="0"/>
          <w:iCs w:val="0"/>
          <w:caps w:val="0"/>
          <w:color w:val="000000"/>
          <w:spacing w:val="0"/>
          <w:sz w:val="31"/>
          <w:szCs w:val="31"/>
        </w:rPr>
        <w:t>16.82万元，占6.68%。</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（注：数据来源于财决01-1表，仅罗列本部门涉及的全部功能分类科目</w:t>
      </w:r>
      <w:r>
        <w:rPr>
          <w:rFonts w:hint="eastAsia" w:ascii="仿宋" w:hAnsi="仿宋" w:eastAsia="仿宋" w:cs="仿宋"/>
          <w:i w:val="0"/>
          <w:iCs w:val="0"/>
          <w:caps w:val="0"/>
          <w:color w:val="000000"/>
          <w:spacing w:val="0"/>
          <w:sz w:val="31"/>
          <w:szCs w:val="31"/>
        </w:rPr>
        <w:t>，</w:t>
      </w:r>
      <w:r>
        <w:rPr>
          <w:rStyle w:val="18"/>
          <w:rFonts w:hint="eastAsia" w:ascii="仿宋" w:hAnsi="仿宋" w:eastAsia="仿宋" w:cs="仿宋"/>
          <w:i w:val="0"/>
          <w:iCs w:val="0"/>
          <w:caps w:val="0"/>
          <w:color w:val="000000"/>
          <w:spacing w:val="0"/>
          <w:sz w:val="31"/>
          <w:szCs w:val="31"/>
        </w:rPr>
        <w:t>至类级。）</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 </w:t>
      </w:r>
      <w:r>
        <w:rPr>
          <w:rFonts w:hint="eastAsia" w:ascii="仿宋" w:hAnsi="仿宋" w:eastAsia="仿宋"/>
          <w:sz w:val="32"/>
          <w:szCs w:val="32"/>
          <w:lang w:eastAsia="zh-CN"/>
        </w:rPr>
        <w:drawing>
          <wp:inline distT="0" distB="0" distL="114300" distR="114300">
            <wp:extent cx="4908550" cy="2105660"/>
            <wp:effectExtent l="5080" t="4445" r="20320" b="2349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（图6：一般公共预算财政拨款支出决算结构）（饼状图）</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（三）一般公共预算财政拨款支出决算具体情况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2022年一般公共预算支出决算数为251.71</w:t>
      </w:r>
      <w:r>
        <w:rPr>
          <w:rFonts w:hint="eastAsia" w:ascii="仿宋" w:hAnsi="仿宋" w:eastAsia="仿宋" w:cs="仿宋"/>
          <w:i w:val="0"/>
          <w:iCs w:val="0"/>
          <w:caps w:val="0"/>
          <w:color w:val="000000"/>
          <w:spacing w:val="0"/>
          <w:sz w:val="31"/>
          <w:szCs w:val="31"/>
        </w:rPr>
        <w:t>，</w:t>
      </w:r>
      <w:r>
        <w:rPr>
          <w:rStyle w:val="18"/>
          <w:rFonts w:hint="eastAsia" w:ascii="仿宋" w:hAnsi="仿宋" w:eastAsia="仿宋" w:cs="仿宋"/>
          <w:i w:val="0"/>
          <w:iCs w:val="0"/>
          <w:caps w:val="0"/>
          <w:color w:val="000000"/>
          <w:spacing w:val="0"/>
          <w:sz w:val="31"/>
          <w:szCs w:val="31"/>
        </w:rPr>
        <w:t>完成</w:t>
      </w:r>
      <w:r>
        <w:rPr>
          <w:rFonts w:hint="eastAsia" w:ascii="仿宋" w:hAnsi="仿宋" w:eastAsia="仿宋" w:cs="仿宋"/>
          <w:i w:val="0"/>
          <w:iCs w:val="0"/>
          <w:caps w:val="0"/>
          <w:color w:val="000000"/>
          <w:spacing w:val="0"/>
          <w:sz w:val="31"/>
          <w:szCs w:val="31"/>
        </w:rPr>
        <w:t>预算的</w:t>
      </w:r>
      <w:r>
        <w:rPr>
          <w:rStyle w:val="18"/>
          <w:rFonts w:hint="eastAsia" w:ascii="仿宋" w:hAnsi="仿宋" w:eastAsia="仿宋" w:cs="仿宋"/>
          <w:i w:val="0"/>
          <w:iCs w:val="0"/>
          <w:caps w:val="0"/>
          <w:color w:val="000000"/>
          <w:spacing w:val="0"/>
          <w:sz w:val="31"/>
          <w:szCs w:val="31"/>
        </w:rPr>
        <w:t>100%。其中</w:t>
      </w:r>
      <w:r>
        <w:rPr>
          <w:rFonts w:hint="eastAsia" w:ascii="仿宋" w:hAnsi="仿宋" w:eastAsia="仿宋" w:cs="仿宋"/>
          <w:i w:val="0"/>
          <w:iCs w:val="0"/>
          <w:caps w:val="0"/>
          <w:color w:val="000000"/>
          <w:spacing w:val="0"/>
          <w:sz w:val="31"/>
          <w:szCs w:val="31"/>
        </w:rPr>
        <w:t>：</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1.一般公共服务（类）政府办公厅（室）及相关机构事务（款）行政运行（项）:</w:t>
      </w:r>
      <w:r>
        <w:rPr>
          <w:rFonts w:hint="eastAsia" w:ascii="仿宋" w:hAnsi="仿宋" w:eastAsia="仿宋" w:cs="仿宋"/>
          <w:i w:val="0"/>
          <w:iCs w:val="0"/>
          <w:caps w:val="0"/>
          <w:color w:val="000000"/>
          <w:spacing w:val="0"/>
          <w:sz w:val="31"/>
          <w:szCs w:val="31"/>
        </w:rPr>
        <w:t> 支出决算为115.55万元，完成预算100%，决算数与预算数持平；</w:t>
      </w:r>
      <w:r>
        <w:rPr>
          <w:rStyle w:val="18"/>
          <w:rFonts w:hint="eastAsia" w:ascii="仿宋" w:hAnsi="仿宋" w:eastAsia="仿宋" w:cs="仿宋"/>
          <w:i w:val="0"/>
          <w:iCs w:val="0"/>
          <w:caps w:val="0"/>
          <w:color w:val="000000"/>
          <w:spacing w:val="0"/>
          <w:sz w:val="31"/>
          <w:szCs w:val="31"/>
        </w:rPr>
        <w:t>信访事务（项）</w:t>
      </w:r>
      <w:r>
        <w:rPr>
          <w:rFonts w:hint="eastAsia" w:ascii="仿宋" w:hAnsi="仿宋" w:eastAsia="仿宋" w:cs="仿宋"/>
          <w:i w:val="0"/>
          <w:iCs w:val="0"/>
          <w:caps w:val="0"/>
          <w:color w:val="000000"/>
          <w:spacing w:val="0"/>
          <w:sz w:val="31"/>
          <w:szCs w:val="31"/>
        </w:rPr>
        <w:t>：支出决算为39.85万元，完成预算100%，决算数与预算数持平；</w:t>
      </w:r>
      <w:r>
        <w:rPr>
          <w:rStyle w:val="18"/>
          <w:rFonts w:hint="eastAsia" w:ascii="仿宋" w:hAnsi="仿宋" w:eastAsia="仿宋" w:cs="仿宋"/>
          <w:i w:val="0"/>
          <w:iCs w:val="0"/>
          <w:caps w:val="0"/>
          <w:color w:val="000000"/>
          <w:spacing w:val="0"/>
          <w:sz w:val="31"/>
          <w:szCs w:val="31"/>
        </w:rPr>
        <w:t>事业运行（项）</w:t>
      </w:r>
      <w:r>
        <w:rPr>
          <w:rFonts w:hint="eastAsia" w:ascii="仿宋" w:hAnsi="仿宋" w:eastAsia="仿宋" w:cs="仿宋"/>
          <w:i w:val="0"/>
          <w:iCs w:val="0"/>
          <w:caps w:val="0"/>
          <w:color w:val="000000"/>
          <w:spacing w:val="0"/>
          <w:sz w:val="31"/>
          <w:szCs w:val="31"/>
        </w:rPr>
        <w:t>：支出决算为51.07万元，完成预算100%，决算数与预算数持平。</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2.社会保障和就业（类）行政事业单位养老支出（款）  机关事业单位基本养老保险缴费支出（项）:</w:t>
      </w:r>
      <w:r>
        <w:rPr>
          <w:rFonts w:hint="eastAsia" w:ascii="仿宋" w:hAnsi="仿宋" w:eastAsia="仿宋" w:cs="仿宋"/>
          <w:i w:val="0"/>
          <w:iCs w:val="0"/>
          <w:caps w:val="0"/>
          <w:color w:val="000000"/>
          <w:spacing w:val="0"/>
          <w:sz w:val="31"/>
          <w:szCs w:val="31"/>
        </w:rPr>
        <w:t> 支出决算为13.77万元，完成预算100%，决算数与预算数持平；</w:t>
      </w:r>
      <w:r>
        <w:rPr>
          <w:rStyle w:val="18"/>
          <w:rFonts w:hint="eastAsia" w:ascii="仿宋" w:hAnsi="仿宋" w:eastAsia="仿宋" w:cs="仿宋"/>
          <w:i w:val="0"/>
          <w:iCs w:val="0"/>
          <w:caps w:val="0"/>
          <w:color w:val="000000"/>
          <w:spacing w:val="0"/>
          <w:sz w:val="31"/>
          <w:szCs w:val="31"/>
        </w:rPr>
        <w:t>机关事业单位职业年金缴费支出（项）:</w:t>
      </w:r>
      <w:r>
        <w:rPr>
          <w:rFonts w:hint="eastAsia" w:ascii="仿宋" w:hAnsi="仿宋" w:eastAsia="仿宋" w:cs="仿宋"/>
          <w:i w:val="0"/>
          <w:iCs w:val="0"/>
          <w:caps w:val="0"/>
          <w:color w:val="000000"/>
          <w:spacing w:val="0"/>
          <w:sz w:val="31"/>
          <w:szCs w:val="31"/>
        </w:rPr>
        <w:t> 支出决算为6.89万元，完成预算100%，决算数与预算数持平；</w:t>
      </w:r>
      <w:r>
        <w:rPr>
          <w:rStyle w:val="18"/>
          <w:rFonts w:hint="eastAsia" w:ascii="仿宋" w:hAnsi="仿宋" w:eastAsia="仿宋" w:cs="仿宋"/>
          <w:i w:val="0"/>
          <w:iCs w:val="0"/>
          <w:caps w:val="0"/>
          <w:color w:val="000000"/>
          <w:spacing w:val="0"/>
          <w:sz w:val="31"/>
          <w:szCs w:val="31"/>
        </w:rPr>
        <w:t>其他行政事业单位养老支出（项）:</w:t>
      </w:r>
      <w:r>
        <w:rPr>
          <w:rFonts w:hint="eastAsia" w:ascii="仿宋" w:hAnsi="仿宋" w:eastAsia="仿宋" w:cs="仿宋"/>
          <w:i w:val="0"/>
          <w:iCs w:val="0"/>
          <w:caps w:val="0"/>
          <w:color w:val="000000"/>
          <w:spacing w:val="0"/>
          <w:sz w:val="31"/>
          <w:szCs w:val="31"/>
        </w:rPr>
        <w:t> 支出决算为0.9万元，完成预算100%，决算数与预算数持平。</w:t>
      </w:r>
      <w:r>
        <w:rPr>
          <w:rStyle w:val="18"/>
          <w:rFonts w:hint="eastAsia" w:ascii="仿宋" w:hAnsi="仿宋" w:eastAsia="仿宋" w:cs="仿宋"/>
          <w:i w:val="0"/>
          <w:iCs w:val="0"/>
          <w:caps w:val="0"/>
          <w:color w:val="000000"/>
          <w:spacing w:val="0"/>
          <w:sz w:val="31"/>
          <w:szCs w:val="31"/>
        </w:rPr>
        <w:t>社会保障和就业（类）其他社会保障和就业支出（款）其他社会保障和就业支出（项）:</w:t>
      </w:r>
      <w:r>
        <w:rPr>
          <w:rFonts w:hint="eastAsia" w:ascii="仿宋" w:hAnsi="仿宋" w:eastAsia="仿宋" w:cs="仿宋"/>
          <w:i w:val="0"/>
          <w:iCs w:val="0"/>
          <w:caps w:val="0"/>
          <w:color w:val="000000"/>
          <w:spacing w:val="0"/>
          <w:sz w:val="31"/>
          <w:szCs w:val="31"/>
        </w:rPr>
        <w:t> 支出决算为0.89万元，完成预算100%，决算数与预算数持平；</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3.卫生健康（类）行政事业单位医疗（款）行政单位医疗（项）:</w:t>
      </w:r>
      <w:r>
        <w:rPr>
          <w:rFonts w:hint="eastAsia" w:ascii="仿宋" w:hAnsi="仿宋" w:eastAsia="仿宋" w:cs="仿宋"/>
          <w:i w:val="0"/>
          <w:iCs w:val="0"/>
          <w:caps w:val="0"/>
          <w:color w:val="000000"/>
          <w:spacing w:val="0"/>
          <w:sz w:val="31"/>
          <w:szCs w:val="31"/>
        </w:rPr>
        <w:t>支出决算为3.55万元，完成预算100%，决算数与预算数持平；</w:t>
      </w:r>
      <w:r>
        <w:rPr>
          <w:rStyle w:val="18"/>
          <w:rFonts w:hint="eastAsia" w:ascii="仿宋" w:hAnsi="仿宋" w:eastAsia="仿宋" w:cs="仿宋"/>
          <w:i w:val="0"/>
          <w:iCs w:val="0"/>
          <w:caps w:val="0"/>
          <w:color w:val="000000"/>
          <w:spacing w:val="0"/>
          <w:sz w:val="31"/>
          <w:szCs w:val="31"/>
        </w:rPr>
        <w:t>事业单位医疗（项）:</w:t>
      </w:r>
      <w:r>
        <w:rPr>
          <w:rFonts w:hint="eastAsia" w:ascii="仿宋" w:hAnsi="仿宋" w:eastAsia="仿宋" w:cs="仿宋"/>
          <w:i w:val="0"/>
          <w:iCs w:val="0"/>
          <w:caps w:val="0"/>
          <w:color w:val="000000"/>
          <w:spacing w:val="0"/>
          <w:sz w:val="31"/>
          <w:szCs w:val="31"/>
        </w:rPr>
        <w:t>支出决算为1.70万元，完成预算100%，决算数与预算数持平。</w:t>
      </w:r>
      <w:r>
        <w:rPr>
          <w:rStyle w:val="18"/>
          <w:rFonts w:hint="eastAsia" w:ascii="仿宋" w:hAnsi="仿宋" w:eastAsia="仿宋" w:cs="仿宋"/>
          <w:i w:val="0"/>
          <w:iCs w:val="0"/>
          <w:caps w:val="0"/>
          <w:color w:val="000000"/>
          <w:spacing w:val="0"/>
          <w:sz w:val="31"/>
          <w:szCs w:val="31"/>
        </w:rPr>
        <w:t>公务员医疗补助（项）:</w:t>
      </w:r>
      <w:r>
        <w:rPr>
          <w:rFonts w:hint="eastAsia" w:ascii="仿宋" w:hAnsi="仿宋" w:eastAsia="仿宋" w:cs="仿宋"/>
          <w:i w:val="0"/>
          <w:iCs w:val="0"/>
          <w:caps w:val="0"/>
          <w:color w:val="000000"/>
          <w:spacing w:val="0"/>
          <w:sz w:val="31"/>
          <w:szCs w:val="31"/>
        </w:rPr>
        <w:t>支出决算为0.72万元，完成预算100%，决算数与预算数持平。</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4.住房</w:t>
      </w:r>
      <w:r>
        <w:rPr>
          <w:rStyle w:val="18"/>
          <w:rFonts w:hint="eastAsia" w:ascii="仿宋" w:hAnsi="仿宋" w:eastAsia="仿宋" w:cs="仿宋"/>
          <w:i w:val="0"/>
          <w:iCs w:val="0"/>
          <w:caps w:val="0"/>
          <w:color w:val="000000"/>
          <w:spacing w:val="0"/>
          <w:sz w:val="31"/>
          <w:szCs w:val="31"/>
        </w:rPr>
        <w:t>保障支出（类）住房改革支出（款）住房公积金（项）:</w:t>
      </w:r>
      <w:r>
        <w:rPr>
          <w:rFonts w:hint="eastAsia" w:ascii="仿宋" w:hAnsi="仿宋" w:eastAsia="仿宋" w:cs="仿宋"/>
          <w:i w:val="0"/>
          <w:iCs w:val="0"/>
          <w:caps w:val="0"/>
          <w:color w:val="000000"/>
          <w:spacing w:val="0"/>
          <w:sz w:val="31"/>
          <w:szCs w:val="31"/>
        </w:rPr>
        <w:t>支出决算为16.82万元，完成预算100%，决算数与预算数持平。</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（注：数据来源于财决01-1表和财决08表，仅罗列本部门涉及的全部功能分类科目</w:t>
      </w:r>
      <w:r>
        <w:rPr>
          <w:rFonts w:hint="eastAsia" w:ascii="仿宋" w:hAnsi="仿宋" w:eastAsia="仿宋" w:cs="仿宋"/>
          <w:i w:val="0"/>
          <w:iCs w:val="0"/>
          <w:caps w:val="0"/>
          <w:color w:val="000000"/>
          <w:spacing w:val="0"/>
          <w:sz w:val="31"/>
          <w:szCs w:val="31"/>
        </w:rPr>
        <w:t>，</w:t>
      </w:r>
      <w:r>
        <w:rPr>
          <w:rStyle w:val="18"/>
          <w:rFonts w:hint="eastAsia" w:ascii="仿宋" w:hAnsi="仿宋" w:eastAsia="仿宋" w:cs="仿宋"/>
          <w:i w:val="0"/>
          <w:iCs w:val="0"/>
          <w:caps w:val="0"/>
          <w:color w:val="000000"/>
          <w:spacing w:val="0"/>
          <w:sz w:val="31"/>
          <w:szCs w:val="31"/>
        </w:rPr>
        <w:t>至项级。上述“预算”口径为全年预算数。增减变动原因为决算数&lt;项级&gt;和全年预算数&lt;项级&gt;比较，与预算数</w:t>
      </w:r>
      <w:r>
        <w:rPr>
          <w:rFonts w:hint="eastAsia" w:ascii="仿宋" w:hAnsi="仿宋" w:eastAsia="仿宋" w:cs="仿宋"/>
          <w:i w:val="0"/>
          <w:iCs w:val="0"/>
          <w:caps w:val="0"/>
          <w:color w:val="000000"/>
          <w:spacing w:val="0"/>
          <w:sz w:val="31"/>
          <w:szCs w:val="31"/>
        </w:rPr>
        <w:t>持平</w:t>
      </w:r>
      <w:r>
        <w:rPr>
          <w:rStyle w:val="18"/>
          <w:rFonts w:hint="eastAsia" w:ascii="仿宋" w:hAnsi="仿宋" w:eastAsia="仿宋" w:cs="仿宋"/>
          <w:i w:val="0"/>
          <w:iCs w:val="0"/>
          <w:caps w:val="0"/>
          <w:color w:val="000000"/>
          <w:spacing w:val="0"/>
          <w:sz w:val="31"/>
          <w:szCs w:val="31"/>
        </w:rPr>
        <w:t>可以不写原因。）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六</w:t>
      </w:r>
      <w:r>
        <w:rPr>
          <w:rStyle w:val="18"/>
          <w:rFonts w:hint="eastAsia" w:ascii="黑体" w:hAnsi="宋体" w:eastAsia="黑体" w:cs="黑体"/>
          <w:i w:val="0"/>
          <w:iCs w:val="0"/>
          <w:caps w:val="0"/>
          <w:color w:val="000000"/>
          <w:spacing w:val="0"/>
          <w:sz w:val="31"/>
          <w:szCs w:val="31"/>
        </w:rPr>
        <w:t>、一</w:t>
      </w:r>
      <w:r>
        <w:rPr>
          <w:rFonts w:hint="eastAsia" w:ascii="黑体" w:hAnsi="宋体" w:eastAsia="黑体" w:cs="黑体"/>
          <w:i w:val="0"/>
          <w:iCs w:val="0"/>
          <w:caps w:val="0"/>
          <w:color w:val="000000"/>
          <w:spacing w:val="0"/>
          <w:sz w:val="31"/>
          <w:szCs w:val="31"/>
        </w:rPr>
        <w:t>般公共预算财政拨款基本支出决算情况说明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2022年一般公共预算财政拨款基本支出211.86万元，其中：</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人员经费189.61万元，主要包括：基本工资、津贴补贴、奖金、伙食补助费、绩效工资、机关事业单位基本养老保险缴费、职业年金缴费、其他社会保障缴费、其他工资福利支出、住房公积金、其他对个人和家庭的补助支出等。</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公用经费22.25万元，主要包括：办公费、水费、电费、邮电费、差旅费、维修（护）费、公务接待费、劳务费、委托业务费、工会经费、福利费、其他交通费、其他商品和服务支出。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（注：数据来源于财决07表和财决08-1表，仅罗列本部门实际</w:t>
      </w:r>
      <w:r>
        <w:rPr>
          <w:rFonts w:hint="eastAsia" w:ascii="仿宋" w:hAnsi="仿宋" w:eastAsia="仿宋" w:cs="仿宋"/>
          <w:i w:val="0"/>
          <w:iCs w:val="0"/>
          <w:caps w:val="0"/>
          <w:color w:val="000000"/>
          <w:spacing w:val="0"/>
          <w:sz w:val="31"/>
          <w:szCs w:val="31"/>
        </w:rPr>
        <w:t>支出所</w:t>
      </w:r>
      <w:r>
        <w:rPr>
          <w:rStyle w:val="18"/>
          <w:rFonts w:hint="eastAsia" w:ascii="仿宋" w:hAnsi="仿宋" w:eastAsia="仿宋" w:cs="仿宋"/>
          <w:i w:val="0"/>
          <w:iCs w:val="0"/>
          <w:caps w:val="0"/>
          <w:color w:val="000000"/>
          <w:spacing w:val="0"/>
          <w:sz w:val="31"/>
          <w:szCs w:val="31"/>
        </w:rPr>
        <w:t>涉及的经济分类科目。）</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七、财政拨款</w:t>
      </w:r>
      <w:r>
        <w:rPr>
          <w:rStyle w:val="18"/>
          <w:rFonts w:hint="eastAsia" w:ascii="黑体" w:hAnsi="宋体" w:eastAsia="黑体" w:cs="黑体"/>
          <w:i w:val="0"/>
          <w:iCs w:val="0"/>
          <w:caps w:val="0"/>
          <w:color w:val="000000"/>
          <w:spacing w:val="0"/>
          <w:sz w:val="31"/>
          <w:szCs w:val="31"/>
        </w:rPr>
        <w:t>“</w:t>
      </w:r>
      <w:r>
        <w:rPr>
          <w:rFonts w:hint="eastAsia" w:ascii="黑体" w:hAnsi="宋体" w:eastAsia="黑体" w:cs="黑体"/>
          <w:i w:val="0"/>
          <w:iCs w:val="0"/>
          <w:caps w:val="0"/>
          <w:color w:val="000000"/>
          <w:spacing w:val="0"/>
          <w:sz w:val="31"/>
          <w:szCs w:val="31"/>
        </w:rPr>
        <w:t>三公”经费支出决算情况说明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（一）“三公”经费财政拨款支出决算总体情况说明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2022年“三公”经费财政拨款支出决算为0.1万元，完成预算100%，较上年减少1.08万元，下降91.53%。决算数与预算数持平的主要原因是严格执行年初预算。</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（注：上述“预算”口径为全年预算数，包括一般公共预算和政府性基金</w:t>
      </w:r>
      <w:r>
        <w:rPr>
          <w:rFonts w:hint="eastAsia" w:ascii="仿宋" w:hAnsi="仿宋" w:eastAsia="仿宋" w:cs="仿宋"/>
          <w:i w:val="0"/>
          <w:iCs w:val="0"/>
          <w:caps w:val="0"/>
          <w:color w:val="000000"/>
          <w:spacing w:val="0"/>
          <w:sz w:val="31"/>
          <w:szCs w:val="31"/>
        </w:rPr>
        <w:t>预算</w:t>
      </w:r>
      <w:r>
        <w:rPr>
          <w:rStyle w:val="18"/>
          <w:rFonts w:hint="eastAsia" w:ascii="仿宋" w:hAnsi="仿宋" w:eastAsia="仿宋" w:cs="仿宋"/>
          <w:i w:val="0"/>
          <w:iCs w:val="0"/>
          <w:caps w:val="0"/>
          <w:color w:val="000000"/>
          <w:spacing w:val="0"/>
          <w:sz w:val="31"/>
          <w:szCs w:val="31"/>
        </w:rPr>
        <w:t>财政拨款支出决算情况。）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（二）“三公”经费财政拨款支出决算具体情况说明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2022年“三公”经费财政拨款支出决算中，因公出国（境）费支出决算0万元，占0%；公务用车购置及运行维护费支出决算0万元，占0%；公务接待费支出决算0.1万元，占100%。具体情况如下：</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 </w:t>
      </w:r>
      <w:r>
        <w:rPr>
          <w:rFonts w:hint="eastAsia" w:ascii="仿宋" w:hAnsi="仿宋" w:eastAsia="仿宋"/>
          <w:sz w:val="32"/>
          <w:szCs w:val="32"/>
          <w:lang w:eastAsia="zh-CN"/>
        </w:rPr>
        <w:drawing>
          <wp:inline distT="0" distB="0" distL="114300" distR="114300">
            <wp:extent cx="5080000" cy="2206625"/>
            <wp:effectExtent l="4445" t="4445" r="20955" b="1778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Style w:val="18"/>
          <w:rFonts w:hint="eastAsia" w:ascii="仿宋_GB2312" w:hAnsi="微软雅黑" w:eastAsia="仿宋_GB2312" w:cs="仿宋_GB2312"/>
          <w:i w:val="0"/>
          <w:iCs w:val="0"/>
          <w:caps w:val="0"/>
          <w:color w:val="000000"/>
          <w:spacing w:val="0"/>
          <w:sz w:val="31"/>
          <w:szCs w:val="31"/>
        </w:rPr>
      </w:pPr>
      <w:r>
        <w:rPr>
          <w:rFonts w:hint="eastAsia" w:ascii="仿宋" w:hAnsi="仿宋" w:eastAsia="仿宋" w:cs="仿宋"/>
          <w:i w:val="0"/>
          <w:iCs w:val="0"/>
          <w:caps w:val="0"/>
          <w:color w:val="000000"/>
          <w:spacing w:val="0"/>
          <w:sz w:val="31"/>
          <w:szCs w:val="31"/>
        </w:rPr>
        <w:t>（图7：“三公”经费财政拨款支出结构）（饼状图）</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firstLine="622" w:firstLineChars="200"/>
        <w:rPr>
          <w:rFonts w:hint="eastAsia" w:ascii="微软雅黑" w:hAnsi="微软雅黑" w:eastAsia="微软雅黑" w:cs="微软雅黑"/>
          <w:i w:val="0"/>
          <w:iCs w:val="0"/>
          <w:caps w:val="0"/>
          <w:color w:val="000000"/>
          <w:spacing w:val="0"/>
          <w:sz w:val="24"/>
          <w:szCs w:val="24"/>
        </w:rPr>
      </w:pPr>
      <w:r>
        <w:rPr>
          <w:rStyle w:val="18"/>
          <w:rFonts w:hint="eastAsia" w:ascii="仿宋_GB2312" w:hAnsi="微软雅黑" w:eastAsia="仿宋_GB2312" w:cs="仿宋_GB2312"/>
          <w:i w:val="0"/>
          <w:iCs w:val="0"/>
          <w:caps w:val="0"/>
          <w:color w:val="000000"/>
          <w:spacing w:val="0"/>
          <w:sz w:val="31"/>
          <w:szCs w:val="31"/>
        </w:rPr>
        <w:t>1.因公出国（境）经费支出</w:t>
      </w:r>
      <w:r>
        <w:rPr>
          <w:rFonts w:hint="eastAsia" w:ascii="仿宋_GB2312" w:hAnsi="微软雅黑" w:eastAsia="仿宋_GB2312" w:cs="仿宋_GB2312"/>
          <w:i w:val="0"/>
          <w:iCs w:val="0"/>
          <w:caps w:val="0"/>
          <w:color w:val="000000"/>
          <w:spacing w:val="0"/>
          <w:sz w:val="31"/>
          <w:szCs w:val="31"/>
        </w:rPr>
        <w:t>0万元，</w:t>
      </w:r>
      <w:r>
        <w:rPr>
          <w:rFonts w:hint="eastAsia" w:ascii="仿宋" w:hAnsi="仿宋" w:eastAsia="仿宋" w:cs="仿宋"/>
          <w:i w:val="0"/>
          <w:iCs w:val="0"/>
          <w:caps w:val="0"/>
          <w:color w:val="000000"/>
          <w:spacing w:val="0"/>
          <w:sz w:val="31"/>
          <w:szCs w:val="31"/>
        </w:rPr>
        <w:t>完成预算0%。</w:t>
      </w:r>
      <w:r>
        <w:rPr>
          <w:rFonts w:hint="eastAsia" w:ascii="仿宋_GB2312" w:hAnsi="微软雅黑" w:eastAsia="仿宋_GB2312" w:cs="仿宋_GB2312"/>
          <w:i w:val="0"/>
          <w:iCs w:val="0"/>
          <w:caps w:val="0"/>
          <w:color w:val="000000"/>
          <w:spacing w:val="0"/>
          <w:sz w:val="31"/>
          <w:szCs w:val="31"/>
        </w:rPr>
        <w:t>全年安排因公出国（境）团组0次，出国（境）0人。因公出国（境）支出决算比2021年增加/减少0万元，增长/下降0%。主要原因是未安排因公出境。</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开支内容包括：无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_GB2312" w:hAnsi="微软雅黑" w:eastAsia="仿宋_GB2312" w:cs="仿宋_GB2312"/>
          <w:i w:val="0"/>
          <w:iCs w:val="0"/>
          <w:caps w:val="0"/>
          <w:color w:val="000000"/>
          <w:spacing w:val="0"/>
          <w:sz w:val="31"/>
          <w:szCs w:val="31"/>
        </w:rPr>
        <w:t>2.公务用车购置及运行维护费支出</w:t>
      </w:r>
      <w:r>
        <w:rPr>
          <w:rFonts w:hint="eastAsia" w:ascii="仿宋_GB2312" w:hAnsi="微软雅黑" w:eastAsia="仿宋_GB2312" w:cs="仿宋_GB2312"/>
          <w:i w:val="0"/>
          <w:iCs w:val="0"/>
          <w:caps w:val="0"/>
          <w:color w:val="000000"/>
          <w:spacing w:val="0"/>
          <w:sz w:val="31"/>
          <w:szCs w:val="31"/>
        </w:rPr>
        <w:t>0万元,</w:t>
      </w:r>
      <w:r>
        <w:rPr>
          <w:rFonts w:hint="eastAsia" w:ascii="仿宋" w:hAnsi="仿宋" w:eastAsia="仿宋" w:cs="仿宋"/>
          <w:i w:val="0"/>
          <w:iCs w:val="0"/>
          <w:caps w:val="0"/>
          <w:color w:val="000000"/>
          <w:spacing w:val="0"/>
          <w:sz w:val="31"/>
          <w:szCs w:val="31"/>
        </w:rPr>
        <w:t>完成预算0%。</w:t>
      </w:r>
      <w:r>
        <w:rPr>
          <w:rFonts w:hint="eastAsia" w:ascii="仿宋_GB2312" w:hAnsi="微软雅黑" w:eastAsia="仿宋_GB2312" w:cs="仿宋_GB2312"/>
          <w:i w:val="0"/>
          <w:iCs w:val="0"/>
          <w:caps w:val="0"/>
          <w:color w:val="000000"/>
          <w:spacing w:val="0"/>
          <w:sz w:val="31"/>
          <w:szCs w:val="31"/>
        </w:rPr>
        <w:t>公务用车购置及运行维护费支出决算比2021年减少0.75万元，下降100%。主要原因是公务用车已经报废无公务用车。</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其中：</w:t>
      </w:r>
      <w:r>
        <w:rPr>
          <w:rStyle w:val="18"/>
          <w:rFonts w:hint="eastAsia" w:ascii="仿宋_GB2312" w:hAnsi="微软雅黑" w:eastAsia="仿宋_GB2312" w:cs="仿宋_GB2312"/>
          <w:i w:val="0"/>
          <w:iCs w:val="0"/>
          <w:caps w:val="0"/>
          <w:color w:val="000000"/>
          <w:spacing w:val="0"/>
          <w:sz w:val="31"/>
          <w:szCs w:val="31"/>
        </w:rPr>
        <w:t>公务用车购置支出</w:t>
      </w:r>
      <w:r>
        <w:rPr>
          <w:rFonts w:hint="eastAsia" w:ascii="仿宋_GB2312" w:hAnsi="微软雅黑" w:eastAsia="仿宋_GB2312" w:cs="仿宋_GB2312"/>
          <w:i w:val="0"/>
          <w:iCs w:val="0"/>
          <w:caps w:val="0"/>
          <w:color w:val="000000"/>
          <w:spacing w:val="0"/>
          <w:sz w:val="31"/>
          <w:szCs w:val="31"/>
        </w:rPr>
        <w:t>0万元。全年按规定更新购置公务用车0辆，其中：轿车0辆、金额0万元，越野车0辆、金额0万元，载客汽车0辆、金额0万元，主要用于：无。截至2022年12月底，单位共有公务用车0辆，其中：轿车0辆、越野车0辆、载客汽车0辆。</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_GB2312" w:hAnsi="微软雅黑" w:eastAsia="仿宋_GB2312" w:cs="仿宋_GB2312"/>
          <w:i w:val="0"/>
          <w:iCs w:val="0"/>
          <w:caps w:val="0"/>
          <w:color w:val="000000"/>
          <w:spacing w:val="0"/>
          <w:sz w:val="31"/>
          <w:szCs w:val="31"/>
        </w:rPr>
        <w:t>公务用车运行维护费支出</w:t>
      </w:r>
      <w:r>
        <w:rPr>
          <w:rFonts w:hint="eastAsia" w:ascii="仿宋_GB2312" w:hAnsi="微软雅黑" w:eastAsia="仿宋_GB2312" w:cs="仿宋_GB2312"/>
          <w:i w:val="0"/>
          <w:iCs w:val="0"/>
          <w:caps w:val="0"/>
          <w:color w:val="000000"/>
          <w:spacing w:val="0"/>
          <w:sz w:val="31"/>
          <w:szCs w:val="31"/>
        </w:rPr>
        <w:t>0万元。主要用于：无。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_GB2312" w:hAnsi="微软雅黑" w:eastAsia="仿宋_GB2312" w:cs="仿宋_GB2312"/>
          <w:i w:val="0"/>
          <w:iCs w:val="0"/>
          <w:caps w:val="0"/>
          <w:color w:val="000000"/>
          <w:spacing w:val="0"/>
          <w:sz w:val="31"/>
          <w:szCs w:val="31"/>
        </w:rPr>
        <w:t>3.公务接待费支出</w:t>
      </w:r>
      <w:r>
        <w:rPr>
          <w:rFonts w:hint="eastAsia" w:ascii="仿宋_GB2312" w:hAnsi="微软雅黑" w:eastAsia="仿宋_GB2312" w:cs="仿宋_GB2312"/>
          <w:i w:val="0"/>
          <w:iCs w:val="0"/>
          <w:caps w:val="0"/>
          <w:color w:val="000000"/>
          <w:spacing w:val="0"/>
          <w:sz w:val="31"/>
          <w:szCs w:val="31"/>
        </w:rPr>
        <w:t>0.1万元，</w:t>
      </w:r>
      <w:r>
        <w:rPr>
          <w:rFonts w:hint="eastAsia" w:ascii="仿宋" w:hAnsi="仿宋" w:eastAsia="仿宋" w:cs="仿宋"/>
          <w:i w:val="0"/>
          <w:iCs w:val="0"/>
          <w:caps w:val="0"/>
          <w:color w:val="000000"/>
          <w:spacing w:val="0"/>
          <w:sz w:val="31"/>
          <w:szCs w:val="31"/>
        </w:rPr>
        <w:t>完成预算100%。</w:t>
      </w:r>
      <w:r>
        <w:rPr>
          <w:rFonts w:hint="eastAsia" w:ascii="仿宋_GB2312" w:hAnsi="微软雅黑" w:eastAsia="仿宋_GB2312" w:cs="仿宋_GB2312"/>
          <w:i w:val="0"/>
          <w:iCs w:val="0"/>
          <w:caps w:val="0"/>
          <w:color w:val="000000"/>
          <w:spacing w:val="0"/>
          <w:sz w:val="31"/>
          <w:szCs w:val="31"/>
        </w:rPr>
        <w:t>公务接待费支出决算比2021年减少0.33万元，下降76.74%。主要原因是部分2022年接待费在年底未及时支付，加上严格控制三公经费使用规定、厉行节约，导致2022年公务接待费较上年下降较多。其中：</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仿宋" w:hAnsi="仿宋" w:eastAsia="仿宋" w:cs="仿宋"/>
          <w:i w:val="0"/>
          <w:iCs w:val="0"/>
          <w:caps w:val="0"/>
          <w:color w:val="000000"/>
          <w:spacing w:val="0"/>
          <w:sz w:val="31"/>
          <w:szCs w:val="31"/>
        </w:rPr>
        <w:t>国内公务接待支出</w:t>
      </w:r>
      <w:r>
        <w:rPr>
          <w:rFonts w:hint="eastAsia" w:ascii="仿宋" w:hAnsi="仿宋" w:eastAsia="仿宋" w:cs="仿宋"/>
          <w:i w:val="0"/>
          <w:iCs w:val="0"/>
          <w:caps w:val="0"/>
          <w:color w:val="000000"/>
          <w:spacing w:val="0"/>
          <w:sz w:val="31"/>
          <w:szCs w:val="31"/>
        </w:rPr>
        <w:t>0.1</w:t>
      </w:r>
      <w:r>
        <w:rPr>
          <w:rFonts w:hint="eastAsia" w:ascii="仿宋_GB2312" w:hAnsi="微软雅黑" w:eastAsia="仿宋_GB2312" w:cs="仿宋_GB2312"/>
          <w:i w:val="0"/>
          <w:iCs w:val="0"/>
          <w:caps w:val="0"/>
          <w:color w:val="000000"/>
          <w:spacing w:val="0"/>
          <w:sz w:val="31"/>
          <w:szCs w:val="31"/>
        </w:rPr>
        <w:t>万元，主要用于执行公务、开展业务活动开支的用餐费等。国内公务接待2批次，8人次（不包括陪同人员），共计支出0.1万元，具体内容包括：美姑县信访局，深化乐山-美姑“边界”信访工作；335元，沙湾区信访局开展对口结对帮扶工作，622元。</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ascii="黑体" w:eastAsia="黑体"/>
          <w:color w:val="auto"/>
          <w:sz w:val="32"/>
          <w:szCs w:val="32"/>
          <w:highlight w:val="none"/>
        </w:rPr>
      </w:pPr>
      <w:r>
        <w:rPr>
          <w:rStyle w:val="18"/>
          <w:rFonts w:hint="eastAsia" w:ascii="仿宋" w:hAnsi="仿宋" w:eastAsia="仿宋" w:cs="仿宋"/>
          <w:i w:val="0"/>
          <w:iCs w:val="0"/>
          <w:caps w:val="0"/>
          <w:color w:val="000000"/>
          <w:spacing w:val="0"/>
          <w:sz w:val="31"/>
          <w:szCs w:val="31"/>
        </w:rPr>
        <w:t>外事接待支出</w:t>
      </w:r>
      <w:r>
        <w:rPr>
          <w:rFonts w:hint="eastAsia" w:ascii="仿宋" w:hAnsi="仿宋" w:eastAsia="仿宋" w:cs="仿宋"/>
          <w:i w:val="0"/>
          <w:iCs w:val="0"/>
          <w:caps w:val="0"/>
          <w:color w:val="000000"/>
          <w:spacing w:val="0"/>
          <w:sz w:val="31"/>
          <w:szCs w:val="31"/>
        </w:rPr>
        <w:t>0</w:t>
      </w:r>
      <w:r>
        <w:rPr>
          <w:rFonts w:hint="eastAsia" w:ascii="仿宋_GB2312" w:hAnsi="微软雅黑" w:eastAsia="仿宋_GB2312" w:cs="仿宋_GB2312"/>
          <w:i w:val="0"/>
          <w:iCs w:val="0"/>
          <w:caps w:val="0"/>
          <w:color w:val="000000"/>
          <w:spacing w:val="0"/>
          <w:sz w:val="31"/>
          <w:szCs w:val="31"/>
        </w:rPr>
        <w:t>万元，主要用于外事接待：无。外事接待0批次，0人次（不包括陪同人员），共计支出0万元。</w:t>
      </w:r>
    </w:p>
    <w:p>
      <w:pPr>
        <w:spacing w:line="600" w:lineRule="exact"/>
        <w:ind w:firstLine="640"/>
        <w:outlineLvl w:val="1"/>
        <w:rPr>
          <w:rStyle w:val="30"/>
          <w:rFonts w:ascii="黑体" w:hAnsi="黑体" w:eastAsia="黑体"/>
          <w:color w:val="auto"/>
          <w:highlight w:val="none"/>
        </w:rPr>
      </w:pPr>
      <w:r>
        <w:rPr>
          <w:rFonts w:hint="eastAsia" w:ascii="黑体" w:eastAsia="黑体"/>
          <w:color w:val="auto"/>
          <w:sz w:val="32"/>
          <w:szCs w:val="32"/>
          <w:highlight w:val="none"/>
        </w:rPr>
        <w:t>八、</w:t>
      </w:r>
      <w:r>
        <w:rPr>
          <w:rStyle w:val="30"/>
          <w:rFonts w:hint="eastAsia" w:ascii="黑体" w:hAnsi="黑体" w:eastAsia="黑体"/>
          <w:b w:val="0"/>
          <w:color w:val="auto"/>
          <w:highlight w:val="none"/>
        </w:rPr>
        <w:t>政府性基金预算支出决算情况说明</w:t>
      </w:r>
      <w:bookmarkEnd w:id="6"/>
      <w:bookmarkEnd w:id="7"/>
    </w:p>
    <w:p>
      <w:pPr>
        <w:spacing w:line="600" w:lineRule="exact"/>
        <w:ind w:firstLine="640"/>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22</w:t>
      </w:r>
      <w:r>
        <w:rPr>
          <w:rFonts w:hint="eastAsia" w:ascii="仿宋_GB2312" w:eastAsia="仿宋_GB2312"/>
          <w:color w:val="auto"/>
          <w:sz w:val="32"/>
          <w:szCs w:val="32"/>
          <w:highlight w:val="none"/>
        </w:rPr>
        <w:t>年政府性基金预算</w:t>
      </w:r>
      <w:r>
        <w:rPr>
          <w:rFonts w:hint="eastAsia" w:ascii="仿宋_GB2312" w:eastAsia="仿宋_GB2312"/>
          <w:color w:val="auto"/>
          <w:sz w:val="32"/>
          <w:szCs w:val="32"/>
          <w:highlight w:val="none"/>
          <w:lang w:eastAsia="zh-CN"/>
        </w:rPr>
        <w:t>财政</w:t>
      </w:r>
      <w:r>
        <w:rPr>
          <w:rFonts w:hint="eastAsia" w:ascii="仿宋_GB2312" w:eastAsia="仿宋_GB2312"/>
          <w:color w:val="auto"/>
          <w:sz w:val="32"/>
          <w:szCs w:val="32"/>
          <w:highlight w:val="none"/>
        </w:rPr>
        <w:t>拨款支出</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w:t>
      </w:r>
    </w:p>
    <w:p>
      <w:pPr>
        <w:numPr>
          <w:ilvl w:val="0"/>
          <w:numId w:val="2"/>
        </w:numPr>
        <w:spacing w:line="600" w:lineRule="exact"/>
        <w:ind w:firstLine="640"/>
        <w:outlineLvl w:val="1"/>
        <w:rPr>
          <w:rStyle w:val="30"/>
          <w:rFonts w:ascii="黑体" w:hAnsi="黑体" w:eastAsia="黑体"/>
          <w:b w:val="0"/>
          <w:color w:val="auto"/>
          <w:highlight w:val="none"/>
        </w:rPr>
      </w:pPr>
      <w:bookmarkStart w:id="8" w:name="_Toc15396611"/>
      <w:bookmarkStart w:id="9" w:name="_Toc15377219"/>
      <w:r>
        <w:rPr>
          <w:rStyle w:val="30"/>
          <w:rFonts w:hint="eastAsia" w:ascii="黑体" w:hAnsi="黑体" w:eastAsia="黑体"/>
          <w:b w:val="0"/>
          <w:color w:val="auto"/>
          <w:highlight w:val="none"/>
        </w:rPr>
        <w:t>国有资本经营预算支出决算情况说明</w:t>
      </w:r>
      <w:bookmarkEnd w:id="8"/>
      <w:bookmarkEnd w:id="9"/>
    </w:p>
    <w:p>
      <w:pPr>
        <w:spacing w:line="600" w:lineRule="exact"/>
        <w:ind w:firstLine="640"/>
        <w:rPr>
          <w:rFonts w:ascii="方正小标宋简体" w:hAnsi="方正小标宋简体" w:eastAsia="方正小标宋简体" w:cs="方正小标宋简体"/>
          <w:color w:val="auto"/>
          <w:sz w:val="44"/>
          <w:szCs w:val="44"/>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22</w:t>
      </w:r>
      <w:r>
        <w:rPr>
          <w:rFonts w:hint="eastAsia" w:ascii="仿宋_GB2312" w:eastAsia="仿宋_GB2312"/>
          <w:color w:val="auto"/>
          <w:sz w:val="32"/>
          <w:szCs w:val="32"/>
          <w:highlight w:val="none"/>
        </w:rPr>
        <w:t>年国有资本经营预算</w:t>
      </w:r>
      <w:r>
        <w:rPr>
          <w:rFonts w:hint="eastAsia" w:ascii="仿宋_GB2312" w:eastAsia="仿宋_GB2312"/>
          <w:color w:val="auto"/>
          <w:sz w:val="32"/>
          <w:szCs w:val="32"/>
          <w:highlight w:val="none"/>
          <w:lang w:eastAsia="zh-CN"/>
        </w:rPr>
        <w:t>财政</w:t>
      </w:r>
      <w:r>
        <w:rPr>
          <w:rFonts w:hint="eastAsia" w:ascii="仿宋_GB2312" w:eastAsia="仿宋_GB2312"/>
          <w:color w:val="auto"/>
          <w:sz w:val="32"/>
          <w:szCs w:val="32"/>
          <w:highlight w:val="none"/>
        </w:rPr>
        <w:t>拨款支出</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w:t>
      </w:r>
    </w:p>
    <w:p>
      <w:pPr>
        <w:numPr>
          <w:ilvl w:val="0"/>
          <w:numId w:val="2"/>
        </w:numPr>
        <w:spacing w:line="600" w:lineRule="exact"/>
        <w:ind w:firstLine="640"/>
        <w:outlineLvl w:val="1"/>
        <w:rPr>
          <w:rStyle w:val="30"/>
          <w:rFonts w:hint="eastAsia" w:ascii="黑体" w:hAnsi="黑体" w:eastAsia="黑体"/>
          <w:b w:val="0"/>
          <w:color w:val="auto"/>
          <w:highlight w:val="none"/>
        </w:rPr>
      </w:pPr>
      <w:bookmarkStart w:id="10" w:name="_Toc15396612"/>
      <w:bookmarkStart w:id="11" w:name="_Toc15377221"/>
      <w:r>
        <w:rPr>
          <w:rStyle w:val="30"/>
          <w:rFonts w:hint="eastAsia" w:ascii="黑体" w:hAnsi="黑体" w:eastAsia="黑体"/>
          <w:b w:val="0"/>
          <w:color w:val="auto"/>
          <w:highlight w:val="none"/>
        </w:rPr>
        <w:t>其他重要事项的情况说明</w:t>
      </w:r>
      <w:bookmarkEnd w:id="10"/>
      <w:bookmarkEnd w:id="11"/>
    </w:p>
    <w:p>
      <w:pPr>
        <w:spacing w:line="600" w:lineRule="exact"/>
        <w:ind w:firstLine="643" w:firstLineChars="200"/>
        <w:outlineLvl w:val="2"/>
        <w:rPr>
          <w:rFonts w:ascii="仿宋" w:hAnsi="仿宋" w:eastAsia="仿宋"/>
          <w:color w:val="auto"/>
          <w:sz w:val="32"/>
          <w:szCs w:val="32"/>
          <w:highlight w:val="none"/>
        </w:rPr>
      </w:pPr>
      <w:bookmarkStart w:id="12" w:name="_Toc15377222"/>
      <w:r>
        <w:rPr>
          <w:rFonts w:hint="eastAsia" w:ascii="仿宋" w:hAnsi="仿宋" w:eastAsia="仿宋"/>
          <w:b/>
          <w:color w:val="auto"/>
          <w:sz w:val="32"/>
          <w:szCs w:val="32"/>
          <w:highlight w:val="none"/>
        </w:rPr>
        <w:t>（一）机关运行经费支出情况</w:t>
      </w:r>
      <w:bookmarkEnd w:id="12"/>
    </w:p>
    <w:p>
      <w:pPr>
        <w:spacing w:line="600" w:lineRule="exact"/>
        <w:ind w:firstLine="640" w:firstLineChars="200"/>
        <w:rPr>
          <w:rFonts w:hint="eastAsia" w:ascii="仿宋_GB2312" w:eastAsia="仿宋_GB2312"/>
          <w:color w:val="auto"/>
          <w:sz w:val="32"/>
          <w:szCs w:val="32"/>
          <w:highlight w:val="none"/>
          <w:lang w:eastAsia="zh-CN"/>
        </w:rPr>
      </w:pP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22</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区信访局</w:t>
      </w:r>
      <w:r>
        <w:rPr>
          <w:rFonts w:hint="eastAsia" w:ascii="仿宋_GB2312" w:eastAsia="仿宋_GB2312"/>
          <w:color w:val="auto"/>
          <w:sz w:val="32"/>
          <w:szCs w:val="32"/>
          <w:highlight w:val="none"/>
        </w:rPr>
        <w:t>机关运行经费支出</w:t>
      </w:r>
      <w:r>
        <w:rPr>
          <w:rFonts w:hint="eastAsia" w:ascii="仿宋_GB2312" w:eastAsia="仿宋_GB2312"/>
          <w:color w:val="auto"/>
          <w:sz w:val="32"/>
          <w:szCs w:val="32"/>
          <w:highlight w:val="none"/>
          <w:lang w:val="en-US" w:eastAsia="zh-CN"/>
        </w:rPr>
        <w:t>22.25</w:t>
      </w:r>
      <w:r>
        <w:rPr>
          <w:rFonts w:hint="eastAsia" w:ascii="仿宋_GB2312" w:eastAsia="仿宋_GB2312"/>
          <w:color w:val="auto"/>
          <w:sz w:val="32"/>
          <w:szCs w:val="32"/>
          <w:highlight w:val="none"/>
        </w:rPr>
        <w:t>万元，比</w:t>
      </w: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21</w:t>
      </w:r>
      <w:r>
        <w:rPr>
          <w:rFonts w:hint="eastAsia" w:ascii="仿宋_GB2312" w:eastAsia="仿宋_GB2312"/>
          <w:color w:val="auto"/>
          <w:sz w:val="32"/>
          <w:szCs w:val="32"/>
          <w:highlight w:val="none"/>
        </w:rPr>
        <w:t>年增加</w:t>
      </w:r>
      <w:r>
        <w:rPr>
          <w:rFonts w:hint="eastAsia" w:ascii="仿宋_GB2312" w:eastAsia="仿宋_GB2312"/>
          <w:color w:val="auto"/>
          <w:sz w:val="32"/>
          <w:szCs w:val="32"/>
          <w:highlight w:val="none"/>
          <w:lang w:val="en-US" w:eastAsia="zh-CN"/>
        </w:rPr>
        <w:t>6.42</w:t>
      </w:r>
      <w:r>
        <w:rPr>
          <w:rFonts w:hint="eastAsia" w:ascii="仿宋_GB2312" w:eastAsia="仿宋_GB2312"/>
          <w:color w:val="auto"/>
          <w:sz w:val="32"/>
          <w:szCs w:val="32"/>
          <w:highlight w:val="none"/>
        </w:rPr>
        <w:t>万元，增长</w:t>
      </w:r>
      <w:r>
        <w:rPr>
          <w:rFonts w:hint="eastAsia" w:ascii="仿宋_GB2312" w:eastAsia="仿宋_GB2312"/>
          <w:color w:val="auto"/>
          <w:sz w:val="32"/>
          <w:szCs w:val="32"/>
          <w:highlight w:val="none"/>
          <w:lang w:val="en-US" w:eastAsia="zh-CN"/>
        </w:rPr>
        <w:t>40.56</w:t>
      </w:r>
      <w:r>
        <w:rPr>
          <w:rFonts w:ascii="仿宋_GB2312" w:eastAsia="仿宋_GB2312"/>
          <w:color w:val="auto"/>
          <w:sz w:val="32"/>
          <w:szCs w:val="32"/>
          <w:highlight w:val="none"/>
        </w:rPr>
        <w:t>%</w:t>
      </w:r>
      <w:r>
        <w:rPr>
          <w:rFonts w:hint="eastAsia" w:ascii="仿宋_GB2312" w:eastAsia="仿宋_GB2312"/>
          <w:color w:val="auto"/>
          <w:sz w:val="32"/>
          <w:szCs w:val="32"/>
          <w:highlight w:val="none"/>
        </w:rPr>
        <w:t>。主要原因是</w:t>
      </w:r>
      <w:r>
        <w:rPr>
          <w:rFonts w:hint="eastAsia" w:ascii="仿宋_GB2312" w:eastAsia="仿宋_GB2312"/>
          <w:color w:val="auto"/>
          <w:sz w:val="32"/>
          <w:szCs w:val="32"/>
          <w:highlight w:val="none"/>
          <w:lang w:val="en-US" w:eastAsia="zh-CN"/>
        </w:rPr>
        <w:t>人员增加费用增加</w:t>
      </w:r>
      <w:r>
        <w:rPr>
          <w:rFonts w:hint="eastAsia" w:ascii="仿宋_GB2312" w:eastAsia="仿宋_GB2312"/>
          <w:color w:val="auto"/>
          <w:sz w:val="32"/>
          <w:szCs w:val="32"/>
          <w:highlight w:val="none"/>
          <w:lang w:eastAsia="zh-CN"/>
        </w:rPr>
        <w:t>。</w:t>
      </w:r>
    </w:p>
    <w:p>
      <w:pPr>
        <w:spacing w:line="600" w:lineRule="exact"/>
        <w:ind w:firstLine="643" w:firstLineChars="200"/>
        <w:rPr>
          <w:rFonts w:ascii="仿宋" w:hAnsi="仿宋" w:eastAsia="仿宋"/>
          <w:b/>
          <w:color w:val="auto"/>
          <w:sz w:val="32"/>
          <w:szCs w:val="32"/>
          <w:highlight w:val="none"/>
        </w:rPr>
      </w:pPr>
      <w:r>
        <w:rPr>
          <w:rFonts w:hint="eastAsia" w:ascii="仿宋" w:hAnsi="仿宋" w:eastAsia="仿宋"/>
          <w:b/>
          <w:color w:val="auto"/>
          <w:sz w:val="32"/>
          <w:szCs w:val="32"/>
          <w:highlight w:val="none"/>
        </w:rPr>
        <w:t>（注：数据来源于财决附</w:t>
      </w:r>
      <w:r>
        <w:rPr>
          <w:rFonts w:ascii="仿宋" w:hAnsi="仿宋" w:eastAsia="仿宋"/>
          <w:b/>
          <w:color w:val="auto"/>
          <w:sz w:val="32"/>
          <w:szCs w:val="32"/>
          <w:highlight w:val="none"/>
        </w:rPr>
        <w:t>03</w:t>
      </w:r>
      <w:r>
        <w:rPr>
          <w:rFonts w:hint="eastAsia" w:ascii="仿宋" w:hAnsi="仿宋" w:eastAsia="仿宋"/>
          <w:b/>
          <w:color w:val="auto"/>
          <w:sz w:val="32"/>
          <w:szCs w:val="32"/>
          <w:highlight w:val="none"/>
        </w:rPr>
        <w:t>表）</w:t>
      </w:r>
    </w:p>
    <w:p>
      <w:pPr>
        <w:autoSpaceDE w:val="0"/>
        <w:autoSpaceDN w:val="0"/>
        <w:adjustRightInd w:val="0"/>
        <w:spacing w:line="600" w:lineRule="exact"/>
        <w:ind w:firstLine="643" w:firstLineChars="200"/>
        <w:jc w:val="left"/>
        <w:outlineLvl w:val="2"/>
        <w:rPr>
          <w:rFonts w:ascii="仿宋" w:hAnsi="仿宋" w:eastAsia="仿宋"/>
          <w:b/>
          <w:color w:val="auto"/>
          <w:sz w:val="32"/>
          <w:szCs w:val="32"/>
          <w:highlight w:val="none"/>
        </w:rPr>
      </w:pPr>
      <w:bookmarkStart w:id="13" w:name="_Toc15377223"/>
      <w:r>
        <w:rPr>
          <w:rFonts w:hint="eastAsia" w:ascii="仿宋" w:hAnsi="仿宋" w:eastAsia="仿宋"/>
          <w:b/>
          <w:color w:val="auto"/>
          <w:sz w:val="32"/>
          <w:szCs w:val="32"/>
          <w:highlight w:val="none"/>
        </w:rPr>
        <w:t>（二）政府采购支出情况</w:t>
      </w:r>
      <w:bookmarkEnd w:id="13"/>
    </w:p>
    <w:p>
      <w:pPr>
        <w:spacing w:line="60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22</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区信访局</w:t>
      </w:r>
      <w:r>
        <w:rPr>
          <w:rFonts w:hint="eastAsia" w:ascii="仿宋_GB2312" w:eastAsia="仿宋_GB2312"/>
          <w:color w:val="auto"/>
          <w:sz w:val="32"/>
          <w:szCs w:val="32"/>
          <w:highlight w:val="none"/>
        </w:rPr>
        <w:t>政府采购支出总额</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万元，其中：政府采购货物支出</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万元、政府采购工程支出</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万元、政府采购服务支出</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万元。主要用于</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无</w:t>
      </w:r>
      <w:r>
        <w:rPr>
          <w:rFonts w:hint="eastAsia" w:ascii="仿宋_GB2312" w:eastAsia="仿宋_GB2312"/>
          <w:color w:val="auto"/>
          <w:sz w:val="32"/>
          <w:szCs w:val="32"/>
          <w:highlight w:val="none"/>
        </w:rPr>
        <w:t>。授予中小企业合同金额</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万元，占政府采购支出总额的</w:t>
      </w:r>
      <w:r>
        <w:rPr>
          <w:rFonts w:hint="eastAsia" w:ascii="仿宋_GB2312" w:eastAsia="仿宋_GB2312"/>
          <w:color w:val="auto"/>
          <w:sz w:val="32"/>
          <w:szCs w:val="32"/>
          <w:highlight w:val="none"/>
          <w:lang w:val="en-US" w:eastAsia="zh-CN"/>
        </w:rPr>
        <w:t>0</w:t>
      </w:r>
      <w:r>
        <w:rPr>
          <w:rFonts w:ascii="仿宋_GB2312" w:eastAsia="仿宋_GB2312"/>
          <w:color w:val="auto"/>
          <w:sz w:val="32"/>
          <w:szCs w:val="32"/>
          <w:highlight w:val="none"/>
        </w:rPr>
        <w:t>%</w:t>
      </w:r>
      <w:r>
        <w:rPr>
          <w:rFonts w:hint="eastAsia" w:ascii="仿宋_GB2312" w:eastAsia="仿宋_GB2312"/>
          <w:color w:val="auto"/>
          <w:sz w:val="32"/>
          <w:szCs w:val="32"/>
          <w:highlight w:val="none"/>
        </w:rPr>
        <w:t>，其中：授予小微企业合同金额</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万元，占政府采购支出总额的</w:t>
      </w:r>
      <w:r>
        <w:rPr>
          <w:rFonts w:hint="eastAsia" w:ascii="仿宋_GB2312" w:eastAsia="仿宋_GB2312"/>
          <w:color w:val="auto"/>
          <w:sz w:val="32"/>
          <w:szCs w:val="32"/>
          <w:highlight w:val="none"/>
          <w:lang w:val="en-US" w:eastAsia="zh-CN"/>
        </w:rPr>
        <w:t>0</w:t>
      </w:r>
      <w:r>
        <w:rPr>
          <w:rFonts w:ascii="仿宋_GB2312" w:eastAsia="仿宋_GB2312"/>
          <w:color w:val="auto"/>
          <w:sz w:val="32"/>
          <w:szCs w:val="32"/>
          <w:highlight w:val="none"/>
        </w:rPr>
        <w:t>%</w:t>
      </w:r>
      <w:r>
        <w:rPr>
          <w:rFonts w:hint="eastAsia" w:ascii="仿宋_GB2312" w:eastAsia="仿宋_GB2312"/>
          <w:color w:val="auto"/>
          <w:sz w:val="32"/>
          <w:szCs w:val="32"/>
          <w:highlight w:val="none"/>
        </w:rPr>
        <w:t>。</w:t>
      </w:r>
    </w:p>
    <w:p>
      <w:pPr>
        <w:spacing w:line="600" w:lineRule="exact"/>
        <w:ind w:firstLine="643" w:firstLineChars="200"/>
        <w:rPr>
          <w:rFonts w:ascii="仿宋" w:hAnsi="仿宋" w:eastAsia="仿宋"/>
          <w:b/>
          <w:color w:val="auto"/>
          <w:sz w:val="32"/>
          <w:szCs w:val="32"/>
          <w:highlight w:val="none"/>
        </w:rPr>
      </w:pPr>
      <w:r>
        <w:rPr>
          <w:rFonts w:hint="eastAsia" w:ascii="仿宋" w:hAnsi="仿宋" w:eastAsia="仿宋"/>
          <w:b/>
          <w:color w:val="auto"/>
          <w:sz w:val="32"/>
          <w:szCs w:val="32"/>
          <w:highlight w:val="none"/>
        </w:rPr>
        <w:t>（注：数据来源于财决附</w:t>
      </w:r>
      <w:r>
        <w:rPr>
          <w:rFonts w:ascii="仿宋" w:hAnsi="仿宋" w:eastAsia="仿宋"/>
          <w:b/>
          <w:color w:val="auto"/>
          <w:sz w:val="32"/>
          <w:szCs w:val="32"/>
          <w:highlight w:val="none"/>
        </w:rPr>
        <w:t>03</w:t>
      </w:r>
      <w:r>
        <w:rPr>
          <w:rFonts w:hint="eastAsia" w:ascii="仿宋" w:hAnsi="仿宋" w:eastAsia="仿宋"/>
          <w:b/>
          <w:color w:val="auto"/>
          <w:sz w:val="32"/>
          <w:szCs w:val="32"/>
          <w:highlight w:val="none"/>
        </w:rPr>
        <w:t>表）</w:t>
      </w:r>
    </w:p>
    <w:p>
      <w:pPr>
        <w:autoSpaceDE w:val="0"/>
        <w:autoSpaceDN w:val="0"/>
        <w:adjustRightInd w:val="0"/>
        <w:spacing w:line="600" w:lineRule="exact"/>
        <w:ind w:firstLine="643" w:firstLineChars="200"/>
        <w:jc w:val="left"/>
        <w:outlineLvl w:val="2"/>
        <w:rPr>
          <w:rFonts w:ascii="仿宋" w:hAnsi="仿宋" w:eastAsia="仿宋"/>
          <w:b/>
          <w:color w:val="auto"/>
          <w:sz w:val="32"/>
          <w:szCs w:val="32"/>
          <w:highlight w:val="none"/>
        </w:rPr>
      </w:pPr>
      <w:bookmarkStart w:id="14" w:name="_Toc15377224"/>
      <w:r>
        <w:rPr>
          <w:rFonts w:hint="eastAsia" w:ascii="仿宋" w:hAnsi="仿宋" w:eastAsia="仿宋"/>
          <w:b/>
          <w:color w:val="auto"/>
          <w:sz w:val="32"/>
          <w:szCs w:val="32"/>
          <w:highlight w:val="none"/>
        </w:rPr>
        <w:t>（三）国有资产占有使用情况</w:t>
      </w:r>
      <w:bookmarkEnd w:id="14"/>
    </w:p>
    <w:p>
      <w:pPr>
        <w:autoSpaceDE w:val="0"/>
        <w:autoSpaceDN w:val="0"/>
        <w:adjustRightInd w:val="0"/>
        <w:spacing w:line="600" w:lineRule="exact"/>
        <w:ind w:firstLine="640" w:firstLineChars="200"/>
        <w:jc w:val="left"/>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截至</w:t>
      </w: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22</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12</w:t>
      </w:r>
      <w:r>
        <w:rPr>
          <w:rFonts w:hint="eastAsia" w:ascii="仿宋_GB2312" w:eastAsia="仿宋_GB2312"/>
          <w:color w:val="auto"/>
          <w:sz w:val="32"/>
          <w:szCs w:val="32"/>
          <w:highlight w:val="none"/>
        </w:rPr>
        <w:t>月</w:t>
      </w:r>
      <w:r>
        <w:rPr>
          <w:rFonts w:ascii="仿宋_GB2312" w:eastAsia="仿宋_GB2312"/>
          <w:color w:val="auto"/>
          <w:sz w:val="32"/>
          <w:szCs w:val="32"/>
          <w:highlight w:val="none"/>
        </w:rPr>
        <w:t>31</w:t>
      </w:r>
      <w:r>
        <w:rPr>
          <w:rFonts w:hint="eastAsia" w:ascii="仿宋_GB2312" w:eastAsia="仿宋_GB2312"/>
          <w:color w:val="auto"/>
          <w:sz w:val="32"/>
          <w:szCs w:val="32"/>
          <w:highlight w:val="none"/>
        </w:rPr>
        <w:t>日，</w:t>
      </w:r>
      <w:r>
        <w:rPr>
          <w:rFonts w:hint="eastAsia" w:ascii="仿宋_GB2312" w:eastAsia="仿宋_GB2312"/>
          <w:color w:val="auto"/>
          <w:sz w:val="32"/>
          <w:szCs w:val="32"/>
          <w:highlight w:val="none"/>
          <w:lang w:val="en-US" w:eastAsia="zh-CN"/>
        </w:rPr>
        <w:t>区信访局</w:t>
      </w:r>
      <w:r>
        <w:rPr>
          <w:rFonts w:hint="eastAsia" w:ascii="仿宋_GB2312" w:eastAsia="仿宋_GB2312"/>
          <w:color w:val="auto"/>
          <w:sz w:val="32"/>
          <w:szCs w:val="32"/>
          <w:highlight w:val="none"/>
        </w:rPr>
        <w:t>共有车辆</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辆，其中：主要领导干部用车</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辆、机要通信用车</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辆、应急保障用车</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辆、其他用车</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其他用车主要是用于</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无</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单价</w:t>
      </w:r>
      <w:r>
        <w:rPr>
          <w:rFonts w:ascii="仿宋_GB2312" w:eastAsia="仿宋_GB2312"/>
          <w:color w:val="auto"/>
          <w:sz w:val="32"/>
          <w:szCs w:val="32"/>
          <w:highlight w:val="none"/>
        </w:rPr>
        <w:t>100</w:t>
      </w:r>
      <w:r>
        <w:rPr>
          <w:rFonts w:hint="eastAsia" w:ascii="仿宋_GB2312" w:eastAsia="仿宋_GB2312"/>
          <w:color w:val="auto"/>
          <w:sz w:val="32"/>
          <w:szCs w:val="32"/>
          <w:highlight w:val="none"/>
        </w:rPr>
        <w:t>万元以上专用设备</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台（套）。</w:t>
      </w:r>
    </w:p>
    <w:p>
      <w:pPr>
        <w:autoSpaceDE w:val="0"/>
        <w:autoSpaceDN w:val="0"/>
        <w:adjustRightInd w:val="0"/>
        <w:spacing w:line="600" w:lineRule="exact"/>
        <w:ind w:firstLine="643" w:firstLineChars="200"/>
        <w:jc w:val="left"/>
        <w:rPr>
          <w:rFonts w:ascii="仿宋" w:hAnsi="仿宋" w:eastAsia="仿宋"/>
          <w:b/>
          <w:color w:val="auto"/>
          <w:sz w:val="32"/>
          <w:szCs w:val="32"/>
          <w:highlight w:val="none"/>
        </w:rPr>
      </w:pPr>
      <w:r>
        <w:rPr>
          <w:rFonts w:hint="eastAsia" w:ascii="仿宋" w:hAnsi="仿宋" w:eastAsia="仿宋"/>
          <w:b/>
          <w:color w:val="auto"/>
          <w:sz w:val="32"/>
          <w:szCs w:val="32"/>
          <w:highlight w:val="none"/>
        </w:rPr>
        <w:t>（注：数据来源</w:t>
      </w:r>
      <w:r>
        <w:rPr>
          <w:rFonts w:hint="eastAsia" w:ascii="仿宋" w:hAnsi="仿宋" w:eastAsia="仿宋"/>
          <w:b/>
          <w:color w:val="auto"/>
          <w:sz w:val="32"/>
          <w:szCs w:val="32"/>
          <w:highlight w:val="none"/>
          <w:lang w:eastAsia="zh-CN"/>
        </w:rPr>
        <w:t>于</w:t>
      </w:r>
      <w:r>
        <w:rPr>
          <w:rFonts w:hint="eastAsia" w:ascii="仿宋" w:hAnsi="仿宋" w:eastAsia="仿宋"/>
          <w:b/>
          <w:color w:val="auto"/>
          <w:sz w:val="32"/>
          <w:szCs w:val="32"/>
          <w:highlight w:val="none"/>
        </w:rPr>
        <w:t>财决附</w:t>
      </w:r>
      <w:r>
        <w:rPr>
          <w:rFonts w:ascii="仿宋" w:hAnsi="仿宋" w:eastAsia="仿宋"/>
          <w:b/>
          <w:color w:val="auto"/>
          <w:sz w:val="32"/>
          <w:szCs w:val="32"/>
          <w:highlight w:val="none"/>
        </w:rPr>
        <w:t>03</w:t>
      </w:r>
      <w:r>
        <w:rPr>
          <w:rFonts w:hint="eastAsia" w:ascii="仿宋" w:hAnsi="仿宋" w:eastAsia="仿宋"/>
          <w:b/>
          <w:color w:val="auto"/>
          <w:sz w:val="32"/>
          <w:szCs w:val="32"/>
          <w:highlight w:val="none"/>
        </w:rPr>
        <w:t>表，按部门决算报表填报数据罗列车辆情况。）</w:t>
      </w:r>
    </w:p>
    <w:p>
      <w:pPr>
        <w:autoSpaceDE w:val="0"/>
        <w:autoSpaceDN w:val="0"/>
        <w:adjustRightInd w:val="0"/>
        <w:spacing w:line="600" w:lineRule="exact"/>
        <w:ind w:firstLine="643" w:firstLineChars="200"/>
        <w:jc w:val="left"/>
        <w:outlineLvl w:val="2"/>
        <w:rPr>
          <w:rFonts w:ascii="仿宋" w:hAnsi="仿宋" w:eastAsia="仿宋"/>
          <w:b/>
          <w:color w:val="auto"/>
          <w:sz w:val="32"/>
          <w:szCs w:val="32"/>
          <w:highlight w:val="none"/>
        </w:rPr>
      </w:pPr>
      <w:r>
        <w:rPr>
          <w:rFonts w:hint="eastAsia" w:ascii="仿宋" w:hAnsi="仿宋" w:eastAsia="仿宋"/>
          <w:b/>
          <w:color w:val="auto"/>
          <w:sz w:val="32"/>
          <w:szCs w:val="32"/>
          <w:highlight w:val="none"/>
        </w:rPr>
        <w:t>（四）预算绩效管理情况</w:t>
      </w:r>
    </w:p>
    <w:p>
      <w:pPr>
        <w:widowControl/>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根据预算绩效管理要求，本部门在202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年度预算编制阶段，组织对</w:t>
      </w:r>
      <w:r>
        <w:rPr>
          <w:rFonts w:hint="eastAsia" w:ascii="仿宋_GB2312" w:hAnsi="仿宋_GB2312" w:eastAsia="仿宋_GB2312" w:cs="仿宋_GB2312"/>
          <w:sz w:val="32"/>
          <w:szCs w:val="32"/>
          <w:lang w:eastAsia="zh-CN"/>
        </w:rPr>
        <w:t>信访维稳工作经费、疑难信访经费</w:t>
      </w:r>
      <w:r>
        <w:rPr>
          <w:rFonts w:hint="eastAsia" w:ascii="仿宋_GB2312" w:hAnsi="仿宋_GB2312" w:eastAsia="仿宋_GB2312" w:cs="仿宋_GB2312"/>
          <w:sz w:val="32"/>
          <w:szCs w:val="32"/>
        </w:rPr>
        <w:t>项目</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个项目开展了预算事前绩效评估，对</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个项目编制了绩效目标，预算执行过程中，选取</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个项目开展绩效监控。</w:t>
      </w:r>
    </w:p>
    <w:p>
      <w:pPr>
        <w:widowControl/>
        <w:adjustRightInd w:val="0"/>
        <w:snapToGrid w:val="0"/>
        <w:spacing w:line="580" w:lineRule="exact"/>
        <w:ind w:firstLine="640" w:firstLineChars="200"/>
        <w:contextualSpacing/>
        <w:jc w:val="left"/>
        <w:rPr>
          <w:rFonts w:ascii="仿宋_GB2312" w:eastAsia="仿宋_GB2312"/>
          <w:b/>
          <w:color w:val="auto"/>
          <w:sz w:val="32"/>
          <w:szCs w:val="32"/>
          <w:highlight w:val="none"/>
        </w:rPr>
      </w:pPr>
      <w:r>
        <w:rPr>
          <w:rFonts w:hint="eastAsia" w:ascii="仿宋_GB2312" w:hAnsi="仿宋_GB2312" w:eastAsia="仿宋_GB2312" w:cs="仿宋_GB2312"/>
          <w:color w:val="auto"/>
          <w:sz w:val="32"/>
          <w:szCs w:val="32"/>
          <w:highlight w:val="none"/>
        </w:rPr>
        <w:t>组织对2022年度一般公共预算、政府性基金预算、国有资本经营预算、社会保险基金预算以及资本资产、债券资金等全面开展绩效自评，形成</w:t>
      </w:r>
      <w:r>
        <w:rPr>
          <w:rFonts w:hint="eastAsia" w:ascii="仿宋_GB2312" w:hAnsi="仿宋_GB2312" w:eastAsia="仿宋_GB2312" w:cs="仿宋_GB2312"/>
          <w:color w:val="auto"/>
          <w:sz w:val="32"/>
          <w:szCs w:val="32"/>
          <w:highlight w:val="none"/>
          <w:lang w:val="en-US" w:eastAsia="zh-CN"/>
        </w:rPr>
        <w:t>区信访局</w:t>
      </w:r>
      <w:r>
        <w:rPr>
          <w:rFonts w:hint="eastAsia" w:ascii="仿宋_GB2312" w:hAnsi="仿宋_GB2312" w:eastAsia="仿宋_GB2312" w:cs="仿宋_GB2312"/>
          <w:color w:val="auto"/>
          <w:sz w:val="32"/>
          <w:szCs w:val="32"/>
          <w:highlight w:val="none"/>
        </w:rPr>
        <w:t>部门整体（含部门预算项目）绩效自评报告、</w:t>
      </w:r>
      <w:r>
        <w:rPr>
          <w:rFonts w:hint="eastAsia" w:ascii="仿宋_GB2312" w:hAnsi="仿宋_GB2312" w:eastAsia="仿宋_GB2312" w:cs="仿宋_GB2312"/>
          <w:sz w:val="32"/>
          <w:szCs w:val="32"/>
          <w:lang w:eastAsia="zh-CN"/>
        </w:rPr>
        <w:t>信访维稳工作经费、疑难信访经费</w:t>
      </w:r>
      <w:r>
        <w:rPr>
          <w:rFonts w:hint="eastAsia" w:ascii="仿宋_GB2312" w:hAnsi="仿宋_GB2312" w:eastAsia="仿宋_GB2312" w:cs="仿宋_GB2312"/>
          <w:color w:val="auto"/>
          <w:sz w:val="32"/>
          <w:szCs w:val="32"/>
          <w:highlight w:val="none"/>
        </w:rPr>
        <w:t>等专项预算项目绩效自评报告，其中，</w:t>
      </w:r>
      <w:r>
        <w:rPr>
          <w:rFonts w:hint="eastAsia" w:ascii="仿宋_GB2312" w:hAnsi="仿宋_GB2312" w:eastAsia="仿宋_GB2312" w:cs="仿宋_GB2312"/>
          <w:color w:val="auto"/>
          <w:sz w:val="32"/>
          <w:szCs w:val="32"/>
          <w:highlight w:val="none"/>
          <w:lang w:val="en-US" w:eastAsia="zh-CN"/>
        </w:rPr>
        <w:t>区信访局</w:t>
      </w:r>
      <w:r>
        <w:rPr>
          <w:rFonts w:hint="eastAsia" w:ascii="仿宋_GB2312" w:hAnsi="仿宋_GB2312" w:eastAsia="仿宋_GB2312" w:cs="仿宋_GB2312"/>
          <w:color w:val="auto"/>
          <w:sz w:val="32"/>
          <w:szCs w:val="32"/>
          <w:highlight w:val="none"/>
        </w:rPr>
        <w:t>部门整体（含部门预算项目）绩效自评得分为</w:t>
      </w:r>
      <w:r>
        <w:rPr>
          <w:rFonts w:hint="eastAsia" w:ascii="仿宋_GB2312" w:hAnsi="仿宋_GB2312" w:eastAsia="仿宋_GB2312" w:cs="仿宋_GB2312"/>
          <w:color w:val="auto"/>
          <w:sz w:val="32"/>
          <w:szCs w:val="32"/>
          <w:highlight w:val="none"/>
          <w:lang w:val="en-US" w:eastAsia="zh-CN"/>
        </w:rPr>
        <w:t>94</w:t>
      </w:r>
      <w:r>
        <w:rPr>
          <w:rFonts w:hint="eastAsia" w:ascii="仿宋_GB2312" w:hAnsi="仿宋_GB2312" w:eastAsia="仿宋_GB2312" w:cs="仿宋_GB2312"/>
          <w:color w:val="auto"/>
          <w:sz w:val="32"/>
          <w:szCs w:val="32"/>
          <w:highlight w:val="none"/>
        </w:rPr>
        <w:t>分，绩效自评综述</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zh-CN" w:eastAsia="zh-CN"/>
        </w:rPr>
        <w:t>区信访局20</w:t>
      </w: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color w:val="auto"/>
          <w:sz w:val="32"/>
          <w:szCs w:val="32"/>
          <w:highlight w:val="none"/>
          <w:lang w:val="zh-CN" w:eastAsia="zh-CN"/>
        </w:rPr>
        <w:t>年的部门整体支出做到了使用规范、程序透明、达到预期绩效目标确保了机关的正常运行和信访职能的正常履行，财务管理健全规范，没有发生违法违规现象，保证了目标任务的圆满完成</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lang w:eastAsia="zh-CN"/>
        </w:rPr>
        <w:t>信访维稳工作经费</w:t>
      </w:r>
      <w:r>
        <w:rPr>
          <w:rFonts w:hint="eastAsia" w:ascii="仿宋_GB2312" w:hAnsi="仿宋_GB2312" w:eastAsia="仿宋_GB2312" w:cs="仿宋_GB2312"/>
          <w:color w:val="auto"/>
          <w:sz w:val="32"/>
          <w:szCs w:val="32"/>
          <w:highlight w:val="none"/>
        </w:rPr>
        <w:t>专项预算项目绩效自评得分为</w:t>
      </w:r>
      <w:r>
        <w:rPr>
          <w:rFonts w:hint="eastAsia" w:ascii="仿宋_GB2312" w:hAnsi="仿宋_GB2312" w:eastAsia="仿宋_GB2312" w:cs="仿宋_GB2312"/>
          <w:color w:val="auto"/>
          <w:sz w:val="32"/>
          <w:szCs w:val="32"/>
          <w:highlight w:val="none"/>
          <w:lang w:val="en-US" w:eastAsia="zh-CN"/>
        </w:rPr>
        <w:t>94.74</w:t>
      </w:r>
      <w:r>
        <w:rPr>
          <w:rFonts w:hint="eastAsia" w:ascii="仿宋_GB2312" w:hAnsi="仿宋_GB2312" w:eastAsia="仿宋_GB2312" w:cs="仿宋_GB2312"/>
          <w:color w:val="auto"/>
          <w:sz w:val="32"/>
          <w:szCs w:val="32"/>
          <w:highlight w:val="none"/>
        </w:rPr>
        <w:t>分，绩效自评综述：进一步畅通</w:t>
      </w:r>
      <w:r>
        <w:rPr>
          <w:rFonts w:hint="eastAsia" w:ascii="仿宋_GB2312" w:hAnsi="仿宋_GB2312" w:eastAsia="仿宋_GB2312" w:cs="仿宋_GB2312"/>
          <w:color w:val="auto"/>
          <w:sz w:val="32"/>
          <w:szCs w:val="32"/>
          <w:highlight w:val="none"/>
          <w:lang w:val="en-US" w:eastAsia="zh-CN"/>
        </w:rPr>
        <w:t>了</w:t>
      </w:r>
      <w:r>
        <w:rPr>
          <w:rFonts w:hint="eastAsia" w:ascii="仿宋_GB2312" w:hAnsi="仿宋_GB2312" w:eastAsia="仿宋_GB2312" w:cs="仿宋_GB2312"/>
          <w:color w:val="auto"/>
          <w:sz w:val="32"/>
          <w:szCs w:val="32"/>
          <w:highlight w:val="none"/>
        </w:rPr>
        <w:t>信访渠道，规范初信初访办理，化解信访积案。绩效自评报告详见附件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sz w:val="32"/>
          <w:szCs w:val="32"/>
          <w:lang w:eastAsia="zh-CN"/>
        </w:rPr>
        <w:t>疑难信访经费</w:t>
      </w:r>
      <w:r>
        <w:rPr>
          <w:rFonts w:hint="eastAsia" w:ascii="仿宋_GB2312" w:hAnsi="仿宋_GB2312" w:eastAsia="仿宋_GB2312" w:cs="仿宋_GB2312"/>
          <w:color w:val="auto"/>
          <w:sz w:val="32"/>
          <w:szCs w:val="32"/>
          <w:highlight w:val="none"/>
        </w:rPr>
        <w:t>专项预算项目绩效自评得分为</w:t>
      </w:r>
      <w:r>
        <w:rPr>
          <w:rFonts w:hint="eastAsia" w:ascii="仿宋_GB2312" w:hAnsi="仿宋_GB2312" w:eastAsia="仿宋_GB2312" w:cs="仿宋_GB2312"/>
          <w:color w:val="auto"/>
          <w:sz w:val="32"/>
          <w:szCs w:val="32"/>
          <w:highlight w:val="none"/>
          <w:lang w:val="en-US" w:eastAsia="zh-CN"/>
        </w:rPr>
        <w:t>90.44</w:t>
      </w:r>
      <w:r>
        <w:rPr>
          <w:rFonts w:hint="eastAsia" w:ascii="仿宋_GB2312" w:hAnsi="仿宋_GB2312" w:eastAsia="仿宋_GB2312" w:cs="仿宋_GB2312"/>
          <w:color w:val="auto"/>
          <w:sz w:val="32"/>
          <w:szCs w:val="32"/>
          <w:highlight w:val="none"/>
        </w:rPr>
        <w:t>分，绩效自评综述：协调处理</w:t>
      </w:r>
      <w:r>
        <w:rPr>
          <w:rFonts w:hint="eastAsia" w:ascii="仿宋_GB2312" w:hAnsi="仿宋_GB2312" w:eastAsia="仿宋_GB2312" w:cs="仿宋_GB2312"/>
          <w:color w:val="auto"/>
          <w:sz w:val="32"/>
          <w:szCs w:val="32"/>
          <w:highlight w:val="none"/>
          <w:lang w:val="en-US" w:eastAsia="zh-CN"/>
        </w:rPr>
        <w:t>了</w:t>
      </w:r>
      <w:r>
        <w:rPr>
          <w:rFonts w:hint="eastAsia" w:ascii="仿宋_GB2312" w:hAnsi="仿宋_GB2312" w:eastAsia="仿宋_GB2312" w:cs="仿宋_GB2312"/>
          <w:color w:val="auto"/>
          <w:sz w:val="32"/>
          <w:szCs w:val="32"/>
          <w:highlight w:val="none"/>
        </w:rPr>
        <w:t>跨乡、镇和部门的重要信访问题，协调处理</w:t>
      </w:r>
      <w:r>
        <w:rPr>
          <w:rFonts w:hint="eastAsia" w:ascii="仿宋_GB2312" w:hAnsi="仿宋_GB2312" w:eastAsia="仿宋_GB2312" w:cs="仿宋_GB2312"/>
          <w:color w:val="auto"/>
          <w:sz w:val="32"/>
          <w:szCs w:val="32"/>
          <w:highlight w:val="none"/>
          <w:lang w:val="en-US" w:eastAsia="zh-CN"/>
        </w:rPr>
        <w:t>了</w:t>
      </w:r>
      <w:r>
        <w:rPr>
          <w:rFonts w:hint="eastAsia" w:ascii="仿宋_GB2312" w:hAnsi="仿宋_GB2312" w:eastAsia="仿宋_GB2312" w:cs="仿宋_GB2312"/>
          <w:color w:val="auto"/>
          <w:sz w:val="32"/>
          <w:szCs w:val="32"/>
          <w:highlight w:val="none"/>
        </w:rPr>
        <w:t>群众集体到京、省、市、区及有关部门的上访和异常、突发信访事件，处理</w:t>
      </w:r>
      <w:r>
        <w:rPr>
          <w:rFonts w:hint="eastAsia" w:ascii="仿宋_GB2312" w:hAnsi="仿宋_GB2312" w:eastAsia="仿宋_GB2312" w:cs="仿宋_GB2312"/>
          <w:color w:val="auto"/>
          <w:sz w:val="32"/>
          <w:szCs w:val="32"/>
          <w:highlight w:val="none"/>
          <w:lang w:val="en-US" w:eastAsia="zh-CN"/>
        </w:rPr>
        <w:t>了</w:t>
      </w:r>
      <w:r>
        <w:rPr>
          <w:rFonts w:hint="eastAsia" w:ascii="仿宋_GB2312" w:hAnsi="仿宋_GB2312" w:eastAsia="仿宋_GB2312" w:cs="仿宋_GB2312"/>
          <w:color w:val="auto"/>
          <w:sz w:val="32"/>
          <w:szCs w:val="32"/>
          <w:highlight w:val="none"/>
        </w:rPr>
        <w:t>历史遗留疑难信访问题。绩效自评报告详见附件。</w:t>
      </w:r>
      <w:r>
        <w:rPr>
          <w:rFonts w:ascii="仿宋_GB2312" w:eastAsia="仿宋_GB2312"/>
          <w:b/>
          <w:color w:val="auto"/>
          <w:sz w:val="32"/>
          <w:szCs w:val="32"/>
          <w:highlight w:val="none"/>
        </w:rPr>
        <w:br w:type="page"/>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60"/>
        <w:jc w:val="center"/>
        <w:rPr>
          <w:rFonts w:ascii="微软雅黑" w:hAnsi="微软雅黑" w:eastAsia="微软雅黑" w:cs="微软雅黑"/>
          <w:i w:val="0"/>
          <w:iCs w:val="0"/>
          <w:caps w:val="0"/>
          <w:color w:val="000000"/>
          <w:spacing w:val="0"/>
          <w:sz w:val="24"/>
          <w:szCs w:val="24"/>
        </w:rPr>
      </w:pPr>
      <w:r>
        <w:rPr>
          <w:rFonts w:ascii="黑体" w:hAnsi="宋体" w:eastAsia="黑体" w:cs="黑体"/>
          <w:i w:val="0"/>
          <w:iCs w:val="0"/>
          <w:caps w:val="0"/>
          <w:color w:val="000000"/>
          <w:spacing w:val="0"/>
          <w:sz w:val="43"/>
          <w:szCs w:val="43"/>
        </w:rPr>
        <w:t>第三部分 </w:t>
      </w:r>
      <w:r>
        <w:rPr>
          <w:rFonts w:hint="eastAsia" w:ascii="黑体" w:hAnsi="宋体" w:eastAsia="黑体" w:cs="黑体"/>
          <w:i w:val="0"/>
          <w:iCs w:val="0"/>
          <w:caps w:val="0"/>
          <w:color w:val="000000"/>
          <w:spacing w:val="0"/>
          <w:sz w:val="43"/>
          <w:szCs w:val="43"/>
        </w:rPr>
        <w:t>名词解释</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ascii="仿宋_GB2312" w:hAnsi="微软雅黑" w:eastAsia="仿宋_GB2312" w:cs="仿宋_GB2312"/>
          <w:i w:val="0"/>
          <w:iCs w:val="0"/>
          <w:caps w:val="0"/>
          <w:color w:val="000000"/>
          <w:spacing w:val="0"/>
          <w:sz w:val="31"/>
          <w:szCs w:val="31"/>
        </w:rPr>
        <w:t>1.</w:t>
      </w:r>
      <w:r>
        <w:rPr>
          <w:rFonts w:hint="eastAsia" w:ascii="仿宋_GB2312" w:hAnsi="微软雅黑" w:eastAsia="仿宋_GB2312" w:cs="仿宋_GB2312"/>
          <w:i w:val="0"/>
          <w:iCs w:val="0"/>
          <w:caps w:val="0"/>
          <w:color w:val="000000"/>
          <w:spacing w:val="0"/>
          <w:sz w:val="31"/>
          <w:szCs w:val="31"/>
        </w:rPr>
        <w:t>财政拨款收入：指单位从同级财政部门取得的财政预算资金。</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2.事业收入：指事业单位开展专业业务活动及辅助活动取得的收入。</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3.经营收入：指事业单位在专业业务活动及其辅助活动之外开展非独立核算经营活动取得的收入。</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4.其他收入：指单位取得的除上述收入以外的各项收入。主要是银行利息等。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5.使用非财政拨款结余：指事业单位使用以前年度积累的非财政拨款结余弥补当年收支差额的金额。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6.年初结转和结余：指以前年度尚未完成、结转到本年按有关规定继续使用的资金。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7.结余分配：指事业单位按照会计制度规定缴纳的所得税、提取的专用结余以及转入非财政拨款结余的金额等。</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8.年末结转和结余：指单位按有关规定结转到下年或以后年度继续使用的资金。</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9.一般公共服务（类）政府办公厅（室）及相关机构事务行政运行：反映行政单位的基本支出。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10．一般公共服务（类）政府办公厅（室）及相关机构事务信访事务：反映各级政府用于接待群众来信来访方面的支出。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11．一般公共服务（类）政府办公厅（室）及相关机构事务事业运行：反映事业单位的基本支出，不包括行政单位后勤服务中心、医疗室等附属事业单位。</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12．社会保障和就业支出行政事业单位离退休机关事业单位基本养老保险缴费支出：反映机关事业单位实施养老保险制度由单位缴纳的基本养老保险费支出。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13．社会保障和就业支出行政事业单位离退休机关事业单位职业年金缴费支出：反映机关事业单位实施养老保险制度由单位实际缴纳的职业年金支出。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14．社会保障和就业支出行政事业单位离退休其他行政事业单位离退休支出：反映除上述项目以外其他用于行政事业单位离退休方面的支出。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15．社会保障和就业支出其他社会保障和就业支出其他社会保障和就业支出：反映除其他用于社会保障和就业方面的支出。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16．医疗卫生与计划生育支出行政事业单位医疗行政单位医疗：反映财政部门集中安排的行政单位基本医疗保险缴费经费。</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17．医疗卫生与计划生育支出行政事业单位医疗事业单位医疗：反映财政部门安排的事业单位基本医疗保险缴费经费，未参加医疗保险的行政单位的公费医疗经费，按国家规定享受离休人员、红军老战士待遇人员的医疗经费。</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18．住房保障支出住房改革支出住房公积金：反映行政事业单位按人力资源和社会保障部、财政部规定的基本工资和津贴补贴以及规定比例为职工缴纳的住房公积金。</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ascii="仿宋" w:hAnsi="仿宋" w:eastAsia="仿宋" w:cs="仿宋"/>
          <w:i w:val="0"/>
          <w:iCs w:val="0"/>
          <w:caps w:val="0"/>
          <w:color w:val="000000"/>
          <w:spacing w:val="0"/>
          <w:sz w:val="31"/>
          <w:szCs w:val="31"/>
        </w:rPr>
        <w:t>（解释本部门决算报表中</w:t>
      </w:r>
      <w:r>
        <w:rPr>
          <w:rStyle w:val="18"/>
          <w:rFonts w:hint="eastAsia" w:ascii="仿宋" w:hAnsi="仿宋" w:eastAsia="仿宋" w:cs="仿宋"/>
          <w:i w:val="0"/>
          <w:iCs w:val="0"/>
          <w:caps w:val="0"/>
          <w:color w:val="000000"/>
          <w:spacing w:val="0"/>
          <w:sz w:val="31"/>
          <w:szCs w:val="31"/>
        </w:rPr>
        <w:t>涉及的全部功能分类科目至项级，不涉及的科目请自行删除。请参照《2022年政府收支分类科目》增减内容。）</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19.基本支出：指为保障机构正常运转、完成日常工作任务而发生的人员支出和公用支出。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20.项目支出：指在基本支出之外为完成特定行政任务和事业发展目标所发生的支出。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21.经营支出：指事业单位在专业业务活动及其辅助活动之外开展非独立核算经营活动发生的支出。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22.“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center"/>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1"/>
          <w:szCs w:val="31"/>
        </w:rPr>
        <w:t>（</w:t>
      </w:r>
      <w:r>
        <w:rPr>
          <w:rStyle w:val="18"/>
          <w:rFonts w:hint="eastAsia" w:ascii="仿宋" w:hAnsi="仿宋" w:eastAsia="仿宋" w:cs="仿宋"/>
          <w:i w:val="0"/>
          <w:iCs w:val="0"/>
          <w:caps w:val="0"/>
          <w:color w:val="000000"/>
          <w:spacing w:val="0"/>
          <w:sz w:val="31"/>
          <w:szCs w:val="31"/>
        </w:rPr>
        <w:t>名词解释部分请根据各部门实际列支情况罗列，并根据本部门职责职能增减名词解释内容）。</w:t>
      </w:r>
      <w:r>
        <w:rPr>
          <w:rStyle w:val="18"/>
          <w:rFonts w:hint="eastAsia" w:ascii="宋体" w:hAnsi="宋体" w:eastAsia="宋体" w:cs="宋体"/>
          <w:i w:val="0"/>
          <w:iCs w:val="0"/>
          <w:caps w:val="0"/>
          <w:color w:val="000000"/>
          <w:spacing w:val="0"/>
          <w:sz w:val="43"/>
          <w:szCs w:val="43"/>
        </w:rPr>
        <w:br w:type="textWrapping"/>
      </w:r>
      <w:r>
        <w:rPr>
          <w:rFonts w:hint="eastAsia" w:ascii="黑体" w:hAnsi="宋体" w:eastAsia="黑体" w:cs="黑体"/>
          <w:i w:val="0"/>
          <w:iCs w:val="0"/>
          <w:caps w:val="0"/>
          <w:color w:val="000000"/>
          <w:spacing w:val="0"/>
          <w:sz w:val="43"/>
          <w:szCs w:val="43"/>
        </w:rPr>
        <w:t>第四部分 附件</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附件1</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sz w:val="43"/>
          <w:szCs w:val="43"/>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43"/>
          <w:szCs w:val="43"/>
        </w:rPr>
        <w:t>区信访局部门整体支出绩效自评报告</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420"/>
        <w:jc w:val="center"/>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21"/>
          <w:szCs w:val="21"/>
        </w:rPr>
        <w:t>（报告范围包括机关和下属单位）</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60"/>
        <w:rPr>
          <w:rFonts w:hint="eastAsia" w:ascii="微软雅黑" w:hAnsi="微软雅黑" w:eastAsia="微软雅黑" w:cs="微软雅黑"/>
          <w:i w:val="0"/>
          <w:iCs w:val="0"/>
          <w:caps w:val="0"/>
          <w:color w:val="000000"/>
          <w:spacing w:val="0"/>
          <w:sz w:val="24"/>
          <w:szCs w:val="24"/>
        </w:rPr>
      </w:pPr>
      <w:r>
        <w:rPr>
          <w:rFonts w:ascii="方正仿宋_GBK" w:hAnsi="方正仿宋_GBK" w:eastAsia="方正仿宋_GBK" w:cs="方正仿宋_GBK"/>
          <w:i w:val="0"/>
          <w:iCs w:val="0"/>
          <w:caps w:val="0"/>
          <w:color w:val="000000"/>
          <w:spacing w:val="0"/>
          <w:sz w:val="33"/>
          <w:szCs w:val="33"/>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一、部门（单位）概况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ascii="楷体_GB2312" w:hAnsi="微软雅黑" w:eastAsia="楷体_GB2312" w:cs="楷体_GB2312"/>
          <w:i w:val="0"/>
          <w:iCs w:val="0"/>
          <w:caps w:val="0"/>
          <w:color w:val="000000"/>
          <w:spacing w:val="0"/>
          <w:sz w:val="31"/>
          <w:szCs w:val="31"/>
        </w:rPr>
        <w:t>（一）机构组成。</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区信访局属区人民政府序列正科级工作部门，行政编制5名，下属二级预算单位0个，下设群众来访接待中心，为财政全额拨款股级事业单位1个，事业编制4名。我局内设2个职能部门，分别是办公室、信访股。与上年无变化。</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ascii="楷体" w:hAnsi="楷体" w:eastAsia="楷体" w:cs="楷体"/>
          <w:b/>
          <w:bCs/>
          <w:i w:val="0"/>
          <w:iCs w:val="0"/>
          <w:caps w:val="0"/>
          <w:color w:val="000000"/>
          <w:spacing w:val="0"/>
          <w:sz w:val="31"/>
          <w:szCs w:val="31"/>
        </w:rPr>
        <w:t>（二）</w:t>
      </w:r>
      <w:r>
        <w:rPr>
          <w:rStyle w:val="18"/>
          <w:rFonts w:hint="eastAsia" w:ascii="楷体" w:hAnsi="楷体" w:eastAsia="楷体" w:cs="楷体"/>
          <w:i w:val="0"/>
          <w:iCs w:val="0"/>
          <w:caps w:val="0"/>
          <w:color w:val="000000"/>
          <w:spacing w:val="0"/>
          <w:sz w:val="31"/>
          <w:szCs w:val="31"/>
        </w:rPr>
        <w:t>机构职能。</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负责处理金口河区内外群众给金口河区委、区人民政府的来信，接待群众来访，保证信访渠道畅通，及时、准确地向金口河区委、区人民政府领导反映来信来访中提出的重要建议、意见和问题，综合分析信访信息，开展调查研究，提出完善政策的建议；承办上级党委、政府和金口河区委、区政府交办的信访事项，督促检查指导有关信访指示的落实情况，向各乡（彝族乡）、镇和区级各部门交办信访事项，督促检查重要信访事项的处理和落实；协调处理跨乡、镇和部门的重要信访问题，协调处理群众集体到京、省、市、区及有关部门的上访和异常突发信访事件，检查、指导、协调区级各部门和乡（彝族乡）、镇党政机关的信访工作；总结推广各乡（彝族乡）、镇、各部门信访工作的经验，提出改进和加强信访工作的意见和建议，通报重大信访问题和信访事件；了解掌握金口河区信访工作队伍建设情况，组织信访干部的培训，指导做好全区信访办公自动化建设；负责信访工作的宣传和信息发布，协调信访工作对外交流和联络。完成区委、区政府交办的其他任务。</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楷体" w:hAnsi="楷体" w:eastAsia="楷体" w:cs="楷体"/>
          <w:b/>
          <w:bCs/>
          <w:i w:val="0"/>
          <w:iCs w:val="0"/>
          <w:caps w:val="0"/>
          <w:color w:val="000000"/>
          <w:spacing w:val="0"/>
          <w:sz w:val="31"/>
          <w:szCs w:val="31"/>
        </w:rPr>
        <w:t>（三）</w:t>
      </w:r>
      <w:r>
        <w:rPr>
          <w:rStyle w:val="18"/>
          <w:rFonts w:hint="eastAsia" w:ascii="楷体" w:hAnsi="楷体" w:eastAsia="楷体" w:cs="楷体"/>
          <w:i w:val="0"/>
          <w:iCs w:val="0"/>
          <w:caps w:val="0"/>
          <w:color w:val="000000"/>
          <w:spacing w:val="0"/>
          <w:sz w:val="31"/>
          <w:szCs w:val="31"/>
        </w:rPr>
        <w:t>人员概况。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年末实有人数11人，其中行政人员7人，事业人员4人。较上年增加1人，变动原因为调入1人。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二、部门财政资金收支情况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楷体" w:hAnsi="楷体" w:eastAsia="楷体" w:cs="楷体"/>
          <w:i w:val="0"/>
          <w:iCs w:val="0"/>
          <w:caps w:val="0"/>
          <w:color w:val="000000"/>
          <w:spacing w:val="0"/>
          <w:sz w:val="31"/>
          <w:szCs w:val="31"/>
        </w:rPr>
        <w:t>（一）部门财政资金收入情况。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2022年收入总计251.80万元，其中：一般公共预算财政拨款收入251.71万元，其他收入（银行利息）0.01万元，年初结转和结余0.08万元。与2021年相比，收入增加22.84万元，增长9.98%。主要原因是人员增加。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楷体" w:hAnsi="楷体" w:eastAsia="楷体" w:cs="楷体"/>
          <w:b/>
          <w:bCs/>
          <w:i w:val="0"/>
          <w:iCs w:val="0"/>
          <w:caps w:val="0"/>
          <w:color w:val="000000"/>
          <w:spacing w:val="0"/>
          <w:sz w:val="31"/>
          <w:szCs w:val="31"/>
        </w:rPr>
        <w:t>（二）</w:t>
      </w:r>
      <w:r>
        <w:rPr>
          <w:rStyle w:val="18"/>
          <w:rFonts w:hint="eastAsia" w:ascii="楷体" w:hAnsi="楷体" w:eastAsia="楷体" w:cs="楷体"/>
          <w:i w:val="0"/>
          <w:iCs w:val="0"/>
          <w:caps w:val="0"/>
          <w:color w:val="000000"/>
          <w:spacing w:val="0"/>
          <w:sz w:val="31"/>
          <w:szCs w:val="31"/>
        </w:rPr>
        <w:t>部门财政资金支出情况。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2022年支出总计251.80万元，其中：基本支出211.89万元，项目支出39.85万元。与2021年相比，支出增加22.84万元，增长9.98%。主要变动原因是当年人员调动，人员经费增加。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2022年一般公共预算财政拨款基本支出211.89万元，占总支出84.15%。其中：</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人员经费189.61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31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　日常公用经费22.28万元，主要包括：办公费、印刷费、咨询费、手续费、水费、电费、邮电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2022年一般公共预算财政拨款项目支出39.85万元，占总支出15.83%。单位支出主要用于人员经费开支。</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三、部门整体预算绩效管理情况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楷体" w:hAnsi="楷体" w:eastAsia="楷体" w:cs="楷体"/>
          <w:i w:val="0"/>
          <w:iCs w:val="0"/>
          <w:caps w:val="0"/>
          <w:color w:val="000000"/>
          <w:spacing w:val="0"/>
          <w:sz w:val="31"/>
          <w:szCs w:val="31"/>
        </w:rPr>
        <w:t>（一）部门预算管理。</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预算编制：按照区财政局部门预算编制通知要求，按时完成部门年初预算编制工作。在编制过程中，认真核实单位实际财政供养人数和单位实有编制情况，正确编制人员经费和公用经费、特定目标类经费，做到尽量细化项目资金支出预算范围和科目，及时上报预算股进行审核，对所编制的预算予以调整通过。</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2.执行管理情况：按照工作部署，结合工作职能，全面执行2022年部门预算。在预算执行过程中及时对预算进行调整优化，年末基本完成年初预算，无违规违纪行为。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3.绩效评估：根据区财政局的安排部署，我办及时进行了中期评估，通过评估，各项工作有序推进，资金使用随工作进度有序安排，保证了各项工作顺利进行，杜绝了违规违法事件的发生。</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楷体" w:hAnsi="楷体" w:eastAsia="楷体" w:cs="楷体"/>
          <w:i w:val="0"/>
          <w:iCs w:val="0"/>
          <w:caps w:val="0"/>
          <w:color w:val="000000"/>
          <w:spacing w:val="0"/>
          <w:sz w:val="31"/>
          <w:szCs w:val="31"/>
        </w:rPr>
        <w:t>（二）项目预算管理。</w:t>
      </w:r>
      <w:r>
        <w:rPr>
          <w:rFonts w:hint="eastAsia" w:ascii="仿宋_GB2312" w:hAnsi="微软雅黑" w:eastAsia="仿宋_GB2312" w:cs="仿宋_GB2312"/>
          <w:i w:val="0"/>
          <w:iCs w:val="0"/>
          <w:caps w:val="0"/>
          <w:color w:val="000000"/>
          <w:spacing w:val="0"/>
          <w:sz w:val="31"/>
          <w:szCs w:val="31"/>
        </w:rPr>
        <w:t>（有项目预算的部门需要阐述此部分）</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区信访局年初预算3个项目，分别是疑难信访专项经费、信访维稳工作经费、脱贫攻坚驻村工作队队员经费，根据预算绩效管理要求，本部门在年初预算编制阶段，组织对全部项目开展了预算事前绩效评估，编制了绩效目标，预算执行过程中，对项目开展绩效监控，年终执行完毕后，对项目开展了绩效目标完成情况自评。通过项目运行保障了本单位日常工作正常运转，绩效目标设置合理，绩效目标全面完成。通过对项目的有效预算管理为次年编制年初预算及资金安排和使用提供了有力依据。</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楷体" w:hAnsi="楷体" w:eastAsia="楷体" w:cs="楷体"/>
          <w:i w:val="0"/>
          <w:iCs w:val="0"/>
          <w:caps w:val="0"/>
          <w:color w:val="000000"/>
          <w:spacing w:val="0"/>
          <w:sz w:val="31"/>
          <w:szCs w:val="31"/>
        </w:rPr>
        <w:t>（三）结果应用情况。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区信访局严格遵守国家财经法律法规，严格按照内控制度、资产管理、政府采购等方面管理规定，依照经费开支范围、相关规定和程序进行开支，项目资金做到了挂辅账进行单独核算，信息做到了及时全面公开，按要求开展了绩效评价工作，积极配合依法接受了财政监督。</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四、评价结论及建议</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楷体" w:hAnsi="楷体" w:eastAsia="楷体" w:cs="楷体"/>
          <w:i w:val="0"/>
          <w:iCs w:val="0"/>
          <w:caps w:val="0"/>
          <w:color w:val="000000"/>
          <w:spacing w:val="0"/>
          <w:sz w:val="31"/>
          <w:szCs w:val="31"/>
        </w:rPr>
        <w:t>（一）评价结论。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区信访局2022年的部门整体支出做到了使用规范、程序透明、达到预期绩效目标，确保了机关的正常运行和信访职能的正常履行，财务管理健全规范，没有发生违法违规现象，保证了目标任务的圆满完成。评价得分94分。</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0"/>
        <w:rPr>
          <w:rFonts w:hint="eastAsia" w:ascii="微软雅黑" w:hAnsi="微软雅黑" w:eastAsia="微软雅黑" w:cs="微软雅黑"/>
          <w:i w:val="0"/>
          <w:iCs w:val="0"/>
          <w:caps w:val="0"/>
          <w:color w:val="000000"/>
          <w:spacing w:val="0"/>
          <w:sz w:val="24"/>
          <w:szCs w:val="24"/>
        </w:rPr>
      </w:pPr>
      <w:r>
        <w:rPr>
          <w:rStyle w:val="18"/>
          <w:rFonts w:hint="eastAsia" w:ascii="楷体" w:hAnsi="楷体" w:eastAsia="楷体" w:cs="楷体"/>
          <w:i w:val="0"/>
          <w:iCs w:val="0"/>
          <w:caps w:val="0"/>
          <w:color w:val="000000"/>
          <w:spacing w:val="0"/>
          <w:sz w:val="31"/>
          <w:szCs w:val="31"/>
        </w:rPr>
        <w:t>（二）存在问题。</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一是资金存在结余情况；二是内控管理有待进一步完善；三是财务人员政策和业务水平有待提高。</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楷体" w:hAnsi="楷体" w:eastAsia="楷体" w:cs="楷体"/>
          <w:b/>
          <w:bCs/>
          <w:i w:val="0"/>
          <w:iCs w:val="0"/>
          <w:caps w:val="0"/>
          <w:color w:val="000000"/>
          <w:spacing w:val="0"/>
          <w:sz w:val="31"/>
          <w:szCs w:val="31"/>
        </w:rPr>
        <w:t>（三）</w:t>
      </w:r>
      <w:r>
        <w:rPr>
          <w:rStyle w:val="18"/>
          <w:rFonts w:hint="eastAsia" w:ascii="楷体" w:hAnsi="楷体" w:eastAsia="楷体" w:cs="楷体"/>
          <w:i w:val="0"/>
          <w:iCs w:val="0"/>
          <w:caps w:val="0"/>
          <w:color w:val="000000"/>
          <w:spacing w:val="0"/>
          <w:sz w:val="31"/>
          <w:szCs w:val="31"/>
        </w:rPr>
        <w:t>改进建议。</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一是进一步规范和完善内控制度。</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二是加大财务人员相关法律规章和业务知识的学习培训力度。</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仿宋_GB2312" w:hAnsi="微软雅黑" w:eastAsia="仿宋_GB2312" w:cs="仿宋_GB2312"/>
          <w:i w:val="0"/>
          <w:iCs w:val="0"/>
          <w:caps w:val="0"/>
          <w:color w:val="000000"/>
          <w:spacing w:val="0"/>
          <w:sz w:val="31"/>
          <w:szCs w:val="31"/>
        </w:rPr>
      </w:pPr>
      <w:r>
        <w:rPr>
          <w:rFonts w:hint="eastAsia" w:ascii="仿宋_GB2312" w:hAnsi="微软雅黑" w:eastAsia="仿宋_GB2312" w:cs="仿宋_GB2312"/>
          <w:i w:val="0"/>
          <w:iCs w:val="0"/>
          <w:caps w:val="0"/>
          <w:color w:val="000000"/>
          <w:spacing w:val="0"/>
          <w:sz w:val="31"/>
          <w:szCs w:val="31"/>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附件2</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40"/>
          <w:szCs w:val="40"/>
        </w:rPr>
        <w:t>2022年信访维稳工作经费支出绩效自评报告</w:t>
      </w:r>
    </w:p>
    <w:p>
      <w:pPr>
        <w:spacing w:line="600" w:lineRule="exact"/>
        <w:ind w:firstLine="883"/>
        <w:jc w:val="center"/>
        <w:rPr>
          <w:rFonts w:ascii="仿宋_GB2312" w:hAnsi="宋体" w:eastAsia="仿宋_GB2312"/>
          <w:sz w:val="32"/>
          <w:szCs w:val="32"/>
          <w:lang w:val="zh-CN"/>
        </w:rPr>
      </w:pPr>
      <w:r>
        <w:rPr>
          <w:rFonts w:hint="eastAsia" w:ascii="仿宋_GB2312" w:hAnsi="宋体" w:eastAsia="仿宋_GB2312"/>
          <w:sz w:val="32"/>
          <w:szCs w:val="32"/>
          <w:lang w:val="zh-CN"/>
        </w:rPr>
        <w:t>（主管部门自评）</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31"/>
          <w:szCs w:val="31"/>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center"/>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31"/>
          <w:szCs w:val="31"/>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一、项目概况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（一）项目基本情况。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1．说明项目主管部门（单位）在该项目管理中的职能。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信访维稳工作经费为区信访局主管项目，主要用于信访维稳接访劝返工作，主要内容有信访外出值班、信访工作宣传、信访干部培训、工作车辆租赁、各项办公费用支出等。</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2．项目立项、资金申报的依据：该项目为政府批复成立由财政资金全额保障项目。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3．资金管理办法制定情况，资金支持具体项目的条件、范围与支持方式概况：该项目资金来源为本级财政资金，项目资金分配科学合理，符合财政资金改革方向，资金使用规范，管理制度健全。</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4．资金分配的原则及考虑因素：资金分配按照项目实际需求分配。</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（二）项目绩效目标。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1．项目主要内容：信访维稳工作经费为区信访局主管项目，主要用于信访维稳接访劝返工作，主要内容有信访外出值班、信访工作宣传、信访干部培训、工作车辆租赁、各项办公费用支出等。</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2．项目应实现的具体绩效目标，包括目标的量化、细化情况以及项目实施进度计划等：实施该项目是为了化解各种不稳定因素，确保全区信访大局稳定。</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3．分析评价申报内容是否与实际相符，申报目标是否合理可行：是。</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（三）项目自评步骤及方法。</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说明项目绩效自评采用的组织实施步骤及方法：该项目实行</w:t>
      </w:r>
      <w:r>
        <w:rPr>
          <w:rFonts w:hint="eastAsia" w:ascii="仿宋_GB2312" w:hAnsi="微软雅黑" w:eastAsia="仿宋_GB2312" w:cs="仿宋_GB2312"/>
          <w:i w:val="0"/>
          <w:iCs w:val="0"/>
          <w:caps w:val="0"/>
          <w:color w:val="333333"/>
          <w:spacing w:val="0"/>
          <w:sz w:val="31"/>
          <w:szCs w:val="31"/>
        </w:rPr>
        <w:t>全面分析和综合评价。</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二、项目资金申报及使用情况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（一）项目资金申报及批复情况。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说明项目资金申报、批复及预算调整等程序的相关情况。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333333"/>
          <w:spacing w:val="0"/>
          <w:sz w:val="31"/>
          <w:szCs w:val="31"/>
        </w:rPr>
        <w:t>该项目资金申报20万元、批复20万元，无预算调整。</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（二）资金计划、到位及使用情况（可以用表格形式反映）。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1．资金计划。</w:t>
      </w:r>
      <w:r>
        <w:rPr>
          <w:rFonts w:hint="eastAsia" w:ascii="仿宋_GB2312" w:hAnsi="微软雅黑" w:eastAsia="仿宋_GB2312" w:cs="仿宋_GB2312"/>
          <w:i w:val="0"/>
          <w:iCs w:val="0"/>
          <w:caps w:val="0"/>
          <w:color w:val="333333"/>
          <w:spacing w:val="0"/>
          <w:sz w:val="31"/>
          <w:szCs w:val="31"/>
        </w:rPr>
        <w:t>项目全年预算数20万元，项目资金来自区财政资金。</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720"/>
        <w:jc w:val="both"/>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2．资金到位。</w:t>
      </w:r>
      <w:r>
        <w:rPr>
          <w:rFonts w:hint="eastAsia" w:ascii="仿宋_GB2312" w:hAnsi="微软雅黑" w:eastAsia="仿宋_GB2312" w:cs="仿宋_GB2312"/>
          <w:i w:val="0"/>
          <w:iCs w:val="0"/>
          <w:caps w:val="0"/>
          <w:color w:val="333333"/>
          <w:spacing w:val="0"/>
          <w:sz w:val="31"/>
          <w:szCs w:val="31"/>
        </w:rPr>
        <w:t>项目全年预算数20万元，批复数为20万元。项目资金来自区财政资金，资金到位率100%，到位及时。</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3．资金使用。</w:t>
      </w:r>
      <w:r>
        <w:rPr>
          <w:rFonts w:hint="eastAsia" w:ascii="仿宋_GB2312" w:hAnsi="微软雅黑" w:eastAsia="仿宋_GB2312" w:cs="仿宋_GB2312"/>
          <w:i w:val="0"/>
          <w:iCs w:val="0"/>
          <w:caps w:val="0"/>
          <w:color w:val="333333"/>
          <w:spacing w:val="0"/>
          <w:sz w:val="31"/>
          <w:szCs w:val="31"/>
        </w:rPr>
        <w:t>本项目全年支出数16.48万元。资金开支范围主要为信访人员差旅费、交通费、办公费等。资金支付范围、支付标准、支付进度、支付依据等严格按照上级部门要求发放，未人为提高标准。资金支付与预算相符。</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（三）项目财务管理情况。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333333"/>
          <w:spacing w:val="0"/>
          <w:sz w:val="31"/>
          <w:szCs w:val="31"/>
        </w:rPr>
        <w:t>该项目财务管理制度建设、机构设置、会计核算及账务处理都是根据项目资金管理办法，严格执行财务管理制度、财务处理及时、会计核算规范。</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三、项目实施及管理情况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结合项目组织实施管理办法，重点围绕以下内容进行分析评价，并对自评中发现的问题进行分析说明。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（一）</w:t>
      </w:r>
      <w:r>
        <w:rPr>
          <w:rStyle w:val="18"/>
          <w:rFonts w:hint="eastAsia" w:ascii="楷体_GB2312" w:hAnsi="微软雅黑" w:eastAsia="楷体_GB2312" w:cs="楷体_GB2312"/>
          <w:i w:val="0"/>
          <w:iCs w:val="0"/>
          <w:caps w:val="0"/>
          <w:color w:val="000000"/>
          <w:spacing w:val="0"/>
          <w:sz w:val="31"/>
          <w:szCs w:val="31"/>
        </w:rPr>
        <w:t>项目组织架构及实施流程。</w:t>
      </w:r>
      <w:r>
        <w:rPr>
          <w:rFonts w:hint="eastAsia" w:ascii="仿宋_GB2312" w:hAnsi="微软雅黑" w:eastAsia="仿宋_GB2312" w:cs="仿宋_GB2312"/>
          <w:i w:val="0"/>
          <w:iCs w:val="0"/>
          <w:caps w:val="0"/>
          <w:color w:val="000000"/>
          <w:spacing w:val="0"/>
          <w:sz w:val="31"/>
          <w:szCs w:val="31"/>
        </w:rPr>
        <w:t>项目由区信访局组织实施，负责项目的组织、协调、管理、监督，确保项目按计划高质量、高标准完成任务。</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（二）</w:t>
      </w:r>
      <w:r>
        <w:rPr>
          <w:rStyle w:val="18"/>
          <w:rFonts w:hint="eastAsia" w:ascii="楷体_GB2312" w:hAnsi="微软雅黑" w:eastAsia="楷体_GB2312" w:cs="楷体_GB2312"/>
          <w:i w:val="0"/>
          <w:iCs w:val="0"/>
          <w:caps w:val="0"/>
          <w:color w:val="000000"/>
          <w:spacing w:val="0"/>
          <w:sz w:val="31"/>
          <w:szCs w:val="31"/>
        </w:rPr>
        <w:t>项目管理情况。</w:t>
      </w:r>
      <w:r>
        <w:rPr>
          <w:rFonts w:hint="eastAsia" w:ascii="仿宋_GB2312" w:hAnsi="微软雅黑" w:eastAsia="仿宋_GB2312" w:cs="仿宋_GB2312"/>
          <w:i w:val="0"/>
          <w:iCs w:val="0"/>
          <w:caps w:val="0"/>
          <w:color w:val="000000"/>
          <w:spacing w:val="0"/>
          <w:sz w:val="31"/>
          <w:szCs w:val="31"/>
        </w:rPr>
        <w:t>为保证项目的顺利实施，建立健全责任机制，落实任务分工，强化职责，密切配合。严格按照会计制度进行财务核算和财务管理，做到财务处理及时、会计核算规范。</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（三）项目监管情况。</w:t>
      </w:r>
      <w:r>
        <w:rPr>
          <w:rFonts w:hint="eastAsia" w:ascii="仿宋_GB2312" w:hAnsi="微软雅黑" w:eastAsia="仿宋_GB2312" w:cs="仿宋_GB2312"/>
          <w:i w:val="0"/>
          <w:iCs w:val="0"/>
          <w:caps w:val="0"/>
          <w:color w:val="000000"/>
          <w:spacing w:val="0"/>
          <w:sz w:val="31"/>
          <w:szCs w:val="31"/>
        </w:rPr>
        <w:t>实行专款专用，加强对资金使用情况的管理、检查和监督，杜绝挤占、截留、挪用等现象发生，确保项目资金安全有效，提高资金使用效益。</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四、项目绩效情况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（一）项目完成情况。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该项目在2022年度全面完成，在该项目的实施过程中严格控制运行成本的同时保证了项目运行质量。</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（二）项目效益情况。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720"/>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社会效益方面：通过项目实施化解了社会矛盾，维护了信访稳定。</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720"/>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满意度方面：拉近了干群关系，群众满意度高。</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可持续效益方面：宣传政策，政策知晓度高。</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五、评价结论及建议</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（一）评价结论。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720"/>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333333"/>
          <w:spacing w:val="0"/>
          <w:sz w:val="31"/>
          <w:szCs w:val="31"/>
        </w:rPr>
        <w:t>围绕绩效评价指标体系，区信访局绩效评价工作小组对该项目绩效进行了客观、公正的评价，最终自评结果为优。2022年项目预期工作目标已完成。</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（二）存在的问题。</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（三）相关建议。</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0" w:afterAutospacing="0"/>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无。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40"/>
          <w:szCs w:val="40"/>
        </w:rPr>
        <w:t>2022年疑难信访工作经费支出绩效自评报告</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885"/>
        <w:jc w:val="center"/>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（主管部门自评）</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center"/>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31"/>
          <w:szCs w:val="31"/>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一、项目概况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（一）项目基本情况。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1．说明项目主管部门（单位）在该项目管理中的职能。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疑难信访工作经费为区信访局主管项目，用于解决长期积累、久而不决难以划分责任主体的疑难信访问题，协调处理“三跨三分离”（跨地区、跨部门、跨行业和人事分离、人户分离、人事户分离）的重要信访问题；协调处理群众到市到省赴京上访和异常、突发信访事件。</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2．项目立项、资金申报的依据：该项目为政府批复成立由财政资金全额保障项目。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3．资金管理办法制定情况，资金支持具体项目的条件、范围与支持方式概况：该项目资金来源为本级财政资金，项目资金分配科学合理，符合财政资金改革方向，资金使用规范，管理制度健全。</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4．资金分配的原则及考虑因素：资金分配按照项目实际需求分配。</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（二）项目绩效目标。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1．项目主要内容：疑难信访经费为区信访局主管项目，主要用于解决长期积累、久而不决难以划分责任主体的疑难信访问题，协调处理“三跨三分离”（跨地区、跨部门、跨行业和人事分离、人户分离、人事户分离）的重要信访问题；协调处理群众到市到省赴京上访和异常、突发信访事件。</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2．项目应实现的具体绩效目标，包括目标的量化、细化情况以及项目实施进度计划等：实施该项目是为了化解各种不稳定因素，确保全区信访大局稳定。</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3．分析评价申报内容是否与实际相符，申报目标是否合理可行：是。</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（三）项目自评步骤及方法。</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说明项目绩效自评采用的组织实施步骤及方法：该项目实行</w:t>
      </w:r>
      <w:r>
        <w:rPr>
          <w:rFonts w:hint="eastAsia" w:ascii="仿宋_GB2312" w:hAnsi="微软雅黑" w:eastAsia="仿宋_GB2312" w:cs="仿宋_GB2312"/>
          <w:i w:val="0"/>
          <w:iCs w:val="0"/>
          <w:caps w:val="0"/>
          <w:color w:val="333333"/>
          <w:spacing w:val="0"/>
          <w:sz w:val="31"/>
          <w:szCs w:val="31"/>
        </w:rPr>
        <w:t>全面分析和综合评价。</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二、项目资金申报及使用情况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（一）项目资金申报及批复情况。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说明项目资金申报、批复及预算调整等程序的相关情况。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333333"/>
          <w:spacing w:val="0"/>
          <w:sz w:val="31"/>
          <w:szCs w:val="31"/>
        </w:rPr>
        <w:t>该项目资金申报20万元、批复20万元，无预算调整。</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（二）资金计划、到位及使用情况（可以用表格形式反映）。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1．资金计划。</w:t>
      </w:r>
      <w:r>
        <w:rPr>
          <w:rFonts w:hint="eastAsia" w:ascii="仿宋_GB2312" w:hAnsi="微软雅黑" w:eastAsia="仿宋_GB2312" w:cs="仿宋_GB2312"/>
          <w:i w:val="0"/>
          <w:iCs w:val="0"/>
          <w:caps w:val="0"/>
          <w:color w:val="333333"/>
          <w:spacing w:val="0"/>
          <w:sz w:val="31"/>
          <w:szCs w:val="31"/>
        </w:rPr>
        <w:t>项目全年预算数20万元，项目资金来自区财政资金。</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720"/>
        <w:jc w:val="both"/>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2．资金到位。</w:t>
      </w:r>
      <w:r>
        <w:rPr>
          <w:rFonts w:hint="eastAsia" w:ascii="仿宋_GB2312" w:hAnsi="微软雅黑" w:eastAsia="仿宋_GB2312" w:cs="仿宋_GB2312"/>
          <w:i w:val="0"/>
          <w:iCs w:val="0"/>
          <w:caps w:val="0"/>
          <w:color w:val="333333"/>
          <w:spacing w:val="0"/>
          <w:sz w:val="31"/>
          <w:szCs w:val="31"/>
        </w:rPr>
        <w:t>项目全年预算数20万元，批复数为20万元。项目资金来自区财政资金，资金到位率100%，到位及时。</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3．资金使用。</w:t>
      </w:r>
      <w:r>
        <w:rPr>
          <w:rFonts w:hint="eastAsia" w:ascii="仿宋_GB2312" w:hAnsi="微软雅黑" w:eastAsia="仿宋_GB2312" w:cs="仿宋_GB2312"/>
          <w:i w:val="0"/>
          <w:iCs w:val="0"/>
          <w:caps w:val="0"/>
          <w:color w:val="333333"/>
          <w:spacing w:val="0"/>
          <w:sz w:val="31"/>
          <w:szCs w:val="31"/>
        </w:rPr>
        <w:t>本项目全年支出数11.37万元。资金开支范围主要为解决长期积累久而不绝、难以划分责任主体的疑难信访问题。资金支付范围、支付标准、支付进度、支付依据等严格按照上级部门要求发放，未人为提高标准。资金支付与预算相符。</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（三）项目财务管理情况。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333333"/>
          <w:spacing w:val="0"/>
          <w:sz w:val="31"/>
          <w:szCs w:val="31"/>
        </w:rPr>
        <w:t>该项目财务管理制度建设、机构设置、会计核算及账务处理都是根据项目资金管理办法，严格执行财务管理制度、财务处理及时、会计核算规范。</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三、项目实施及管理情况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结合项目组织实施管理办法，重点围绕以下内容进行分析评价，并对自评中发现的问题进行分析说明。</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（一）</w:t>
      </w:r>
      <w:r>
        <w:rPr>
          <w:rStyle w:val="18"/>
          <w:rFonts w:hint="eastAsia" w:ascii="楷体_GB2312" w:hAnsi="微软雅黑" w:eastAsia="楷体_GB2312" w:cs="楷体_GB2312"/>
          <w:i w:val="0"/>
          <w:iCs w:val="0"/>
          <w:caps w:val="0"/>
          <w:color w:val="000000"/>
          <w:spacing w:val="0"/>
          <w:sz w:val="31"/>
          <w:szCs w:val="31"/>
        </w:rPr>
        <w:t>项目组织架构及实施流程。</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项目由区信访局组织实施，负责项目的组织、协调、管理、监督，确保项目按计划高质量、高标准完成任务。</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（二）</w:t>
      </w:r>
      <w:r>
        <w:rPr>
          <w:rStyle w:val="18"/>
          <w:rFonts w:hint="eastAsia" w:ascii="楷体_GB2312" w:hAnsi="微软雅黑" w:eastAsia="楷体_GB2312" w:cs="楷体_GB2312"/>
          <w:i w:val="0"/>
          <w:iCs w:val="0"/>
          <w:caps w:val="0"/>
          <w:color w:val="000000"/>
          <w:spacing w:val="0"/>
          <w:sz w:val="31"/>
          <w:szCs w:val="31"/>
        </w:rPr>
        <w:t>项目管理情况。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为保证项目的顺利实施，建立健全责任机制，落实任务分工，强化职责，密切配合。严格按照会计制度进行财务核算和财务管理，做到财务处理及时、会计核算规范。</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楷体_GB2312" w:hAnsi="微软雅黑" w:eastAsia="楷体_GB2312" w:cs="楷体_GB2312"/>
          <w:i w:val="0"/>
          <w:iCs w:val="0"/>
          <w:caps w:val="0"/>
          <w:color w:val="000000"/>
          <w:spacing w:val="0"/>
          <w:sz w:val="31"/>
          <w:szCs w:val="31"/>
        </w:rPr>
        <w:t>（三）</w:t>
      </w:r>
      <w:r>
        <w:rPr>
          <w:rStyle w:val="18"/>
          <w:rFonts w:hint="eastAsia" w:ascii="楷体_GB2312" w:hAnsi="微软雅黑" w:eastAsia="楷体_GB2312" w:cs="楷体_GB2312"/>
          <w:i w:val="0"/>
          <w:iCs w:val="0"/>
          <w:caps w:val="0"/>
          <w:color w:val="000000"/>
          <w:spacing w:val="0"/>
          <w:sz w:val="31"/>
          <w:szCs w:val="31"/>
        </w:rPr>
        <w:t>项目监管情况。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333333"/>
          <w:spacing w:val="0"/>
          <w:sz w:val="31"/>
          <w:szCs w:val="31"/>
        </w:rPr>
        <w:t>实行专款专用，加强对资金使用情况的管理、检查和监督，杜绝挤占、截留、挪用等现象发生，确保项目资金安全有效，提高资金使用效益。</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四、项目绩效情况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（一）项目完成情况。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该项目在2022年度全面完成，在该项目的实施过程中严格控制运行成本的同时保证了项目运行质量。</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（二）项目效益情况。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720"/>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社会效益方面：通过项目实施化解了社会矛盾，维护了信访稳定。</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720"/>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满意度方面：拉近了干群关系，群众满意度高。</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可持续效益方面：宣传政策，政策知晓度高。</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1"/>
          <w:szCs w:val="31"/>
        </w:rPr>
        <w:t>五、评价结论及建议</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（一）评价结论。</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720"/>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333333"/>
          <w:spacing w:val="0"/>
          <w:sz w:val="31"/>
          <w:szCs w:val="31"/>
        </w:rPr>
        <w:t>围绕绩效评价指标体系，区信访局绩效评价工作小组对该项目绩效进行了客观、公正的评价，最终自评结果为优。2022年项目预期工作目标完成。</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（二）存在的问题。</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无。</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720"/>
        <w:rPr>
          <w:rFonts w:hint="eastAsia" w:ascii="微软雅黑" w:hAnsi="微软雅黑" w:eastAsia="微软雅黑" w:cs="微软雅黑"/>
          <w:i w:val="0"/>
          <w:iCs w:val="0"/>
          <w:caps w:val="0"/>
          <w:color w:val="000000"/>
          <w:spacing w:val="0"/>
          <w:sz w:val="24"/>
          <w:szCs w:val="24"/>
        </w:rPr>
      </w:pPr>
      <w:r>
        <w:rPr>
          <w:rStyle w:val="18"/>
          <w:rFonts w:hint="eastAsia" w:ascii="楷体_GB2312" w:hAnsi="微软雅黑" w:eastAsia="楷体_GB2312" w:cs="楷体_GB2312"/>
          <w:i w:val="0"/>
          <w:iCs w:val="0"/>
          <w:caps w:val="0"/>
          <w:color w:val="000000"/>
          <w:spacing w:val="0"/>
          <w:sz w:val="31"/>
          <w:szCs w:val="31"/>
        </w:rPr>
        <w:t>（三）相关建议。</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0" w:afterAutospacing="0"/>
        <w:ind w:left="0" w:right="0" w:firstLine="645"/>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1"/>
          <w:szCs w:val="31"/>
        </w:rPr>
        <w:t>无。 </w:t>
      </w:r>
      <w:bookmarkStart w:id="15" w:name="_GoBack"/>
      <w:bookmarkEnd w:id="15"/>
      <w:r>
        <w:rPr>
          <w:rFonts w:hint="eastAsia" w:ascii="黑体" w:hAnsi="宋体" w:eastAsia="黑体" w:cs="黑体"/>
          <w:i w:val="0"/>
          <w:iCs w:val="0"/>
          <w:caps w:val="0"/>
          <w:color w:val="000000"/>
          <w:spacing w:val="0"/>
          <w:sz w:val="43"/>
          <w:szCs w:val="43"/>
        </w:rPr>
        <w:t>  </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43"/>
          <w:szCs w:val="43"/>
        </w:rPr>
        <w:t>第五部分 附表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bCs/>
          <w:i w:val="0"/>
          <w:iCs w:val="0"/>
          <w:caps w:val="0"/>
          <w:color w:val="000000"/>
          <w:spacing w:val="0"/>
          <w:sz w:val="31"/>
          <w:szCs w:val="31"/>
        </w:rPr>
        <w:t>一、收</w:t>
      </w:r>
      <w:r>
        <w:rPr>
          <w:rFonts w:hint="eastAsia" w:ascii="仿宋" w:hAnsi="仿宋" w:eastAsia="仿宋" w:cs="仿宋"/>
          <w:b w:val="0"/>
          <w:bCs w:val="0"/>
          <w:i w:val="0"/>
          <w:iCs w:val="0"/>
          <w:caps w:val="0"/>
          <w:color w:val="000000"/>
          <w:spacing w:val="0"/>
          <w:sz w:val="31"/>
          <w:szCs w:val="31"/>
        </w:rPr>
        <w:t>入支出决算总表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bCs/>
          <w:i w:val="0"/>
          <w:iCs w:val="0"/>
          <w:caps w:val="0"/>
          <w:color w:val="000000"/>
          <w:spacing w:val="0"/>
          <w:sz w:val="31"/>
          <w:szCs w:val="31"/>
        </w:rPr>
        <w:t>二、收</w:t>
      </w:r>
      <w:r>
        <w:rPr>
          <w:rFonts w:hint="eastAsia" w:ascii="仿宋" w:hAnsi="仿宋" w:eastAsia="仿宋" w:cs="仿宋"/>
          <w:b w:val="0"/>
          <w:bCs w:val="0"/>
          <w:i w:val="0"/>
          <w:iCs w:val="0"/>
          <w:caps w:val="0"/>
          <w:color w:val="000000"/>
          <w:spacing w:val="0"/>
          <w:sz w:val="31"/>
          <w:szCs w:val="31"/>
        </w:rPr>
        <w:t>入决算表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三、</w:t>
      </w:r>
      <w:r>
        <w:rPr>
          <w:rFonts w:hint="eastAsia" w:ascii="仿宋" w:hAnsi="仿宋" w:eastAsia="仿宋" w:cs="仿宋"/>
          <w:b/>
          <w:bCs/>
          <w:i w:val="0"/>
          <w:iCs w:val="0"/>
          <w:caps w:val="0"/>
          <w:color w:val="000000"/>
          <w:spacing w:val="0"/>
          <w:sz w:val="31"/>
          <w:szCs w:val="31"/>
        </w:rPr>
        <w:t>支</w:t>
      </w:r>
      <w:r>
        <w:rPr>
          <w:rFonts w:hint="eastAsia" w:ascii="仿宋" w:hAnsi="仿宋" w:eastAsia="仿宋" w:cs="仿宋"/>
          <w:b w:val="0"/>
          <w:bCs w:val="0"/>
          <w:i w:val="0"/>
          <w:iCs w:val="0"/>
          <w:caps w:val="0"/>
          <w:color w:val="000000"/>
          <w:spacing w:val="0"/>
          <w:sz w:val="31"/>
          <w:szCs w:val="31"/>
        </w:rPr>
        <w:t>出决算表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四、</w:t>
      </w:r>
      <w:r>
        <w:rPr>
          <w:rFonts w:hint="eastAsia" w:ascii="仿宋" w:hAnsi="仿宋" w:eastAsia="仿宋" w:cs="仿宋"/>
          <w:b/>
          <w:bCs/>
          <w:i w:val="0"/>
          <w:iCs w:val="0"/>
          <w:caps w:val="0"/>
          <w:color w:val="000000"/>
          <w:spacing w:val="0"/>
          <w:sz w:val="31"/>
          <w:szCs w:val="31"/>
        </w:rPr>
        <w:t>财</w:t>
      </w:r>
      <w:r>
        <w:rPr>
          <w:rFonts w:hint="eastAsia" w:ascii="仿宋" w:hAnsi="仿宋" w:eastAsia="仿宋" w:cs="仿宋"/>
          <w:b w:val="0"/>
          <w:bCs w:val="0"/>
          <w:i w:val="0"/>
          <w:iCs w:val="0"/>
          <w:caps w:val="0"/>
          <w:color w:val="000000"/>
          <w:spacing w:val="0"/>
          <w:sz w:val="31"/>
          <w:szCs w:val="31"/>
        </w:rPr>
        <w:t>政拨款收入支出决算总表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五、</w:t>
      </w:r>
      <w:r>
        <w:rPr>
          <w:rFonts w:hint="eastAsia" w:ascii="仿宋" w:hAnsi="仿宋" w:eastAsia="仿宋" w:cs="仿宋"/>
          <w:b/>
          <w:bCs/>
          <w:i w:val="0"/>
          <w:iCs w:val="0"/>
          <w:caps w:val="0"/>
          <w:color w:val="000000"/>
          <w:spacing w:val="0"/>
          <w:sz w:val="31"/>
          <w:szCs w:val="31"/>
        </w:rPr>
        <w:t>财</w:t>
      </w:r>
      <w:r>
        <w:rPr>
          <w:rFonts w:hint="eastAsia" w:ascii="仿宋" w:hAnsi="仿宋" w:eastAsia="仿宋" w:cs="仿宋"/>
          <w:b w:val="0"/>
          <w:bCs w:val="0"/>
          <w:i w:val="0"/>
          <w:iCs w:val="0"/>
          <w:caps w:val="0"/>
          <w:color w:val="000000"/>
          <w:spacing w:val="0"/>
          <w:sz w:val="31"/>
          <w:szCs w:val="31"/>
        </w:rPr>
        <w:t>政拨款支出决算明细表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六、</w:t>
      </w:r>
      <w:r>
        <w:rPr>
          <w:rFonts w:hint="eastAsia" w:ascii="仿宋" w:hAnsi="仿宋" w:eastAsia="仿宋" w:cs="仿宋"/>
          <w:b/>
          <w:bCs/>
          <w:i w:val="0"/>
          <w:iCs w:val="0"/>
          <w:caps w:val="0"/>
          <w:color w:val="000000"/>
          <w:spacing w:val="0"/>
          <w:sz w:val="31"/>
          <w:szCs w:val="31"/>
        </w:rPr>
        <w:t>一</w:t>
      </w:r>
      <w:r>
        <w:rPr>
          <w:rFonts w:hint="eastAsia" w:ascii="仿宋" w:hAnsi="仿宋" w:eastAsia="仿宋" w:cs="仿宋"/>
          <w:b w:val="0"/>
          <w:bCs w:val="0"/>
          <w:i w:val="0"/>
          <w:iCs w:val="0"/>
          <w:caps w:val="0"/>
          <w:color w:val="000000"/>
          <w:spacing w:val="0"/>
          <w:sz w:val="31"/>
          <w:szCs w:val="31"/>
        </w:rPr>
        <w:t>般公共预算财政拨款支出决算表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七、</w:t>
      </w:r>
      <w:r>
        <w:rPr>
          <w:rFonts w:hint="eastAsia" w:ascii="仿宋" w:hAnsi="仿宋" w:eastAsia="仿宋" w:cs="仿宋"/>
          <w:b/>
          <w:bCs/>
          <w:i w:val="0"/>
          <w:iCs w:val="0"/>
          <w:caps w:val="0"/>
          <w:color w:val="000000"/>
          <w:spacing w:val="0"/>
          <w:sz w:val="31"/>
          <w:szCs w:val="31"/>
        </w:rPr>
        <w:t>一</w:t>
      </w:r>
      <w:r>
        <w:rPr>
          <w:rFonts w:hint="eastAsia" w:ascii="仿宋" w:hAnsi="仿宋" w:eastAsia="仿宋" w:cs="仿宋"/>
          <w:b w:val="0"/>
          <w:bCs w:val="0"/>
          <w:i w:val="0"/>
          <w:iCs w:val="0"/>
          <w:caps w:val="0"/>
          <w:color w:val="000000"/>
          <w:spacing w:val="0"/>
          <w:sz w:val="31"/>
          <w:szCs w:val="31"/>
        </w:rPr>
        <w:t>般公共预算财政拨款支出决算明细表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八、</w:t>
      </w:r>
      <w:r>
        <w:rPr>
          <w:rFonts w:hint="eastAsia" w:ascii="仿宋" w:hAnsi="仿宋" w:eastAsia="仿宋" w:cs="仿宋"/>
          <w:b/>
          <w:bCs/>
          <w:i w:val="0"/>
          <w:iCs w:val="0"/>
          <w:caps w:val="0"/>
          <w:color w:val="000000"/>
          <w:spacing w:val="0"/>
          <w:sz w:val="31"/>
          <w:szCs w:val="31"/>
        </w:rPr>
        <w:t>一</w:t>
      </w:r>
      <w:r>
        <w:rPr>
          <w:rFonts w:hint="eastAsia" w:ascii="仿宋" w:hAnsi="仿宋" w:eastAsia="仿宋" w:cs="仿宋"/>
          <w:b w:val="0"/>
          <w:bCs w:val="0"/>
          <w:i w:val="0"/>
          <w:iCs w:val="0"/>
          <w:caps w:val="0"/>
          <w:color w:val="000000"/>
          <w:spacing w:val="0"/>
          <w:sz w:val="31"/>
          <w:szCs w:val="31"/>
        </w:rPr>
        <w:t>般公共预算财政拨款基本支出决算表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九、</w:t>
      </w:r>
      <w:r>
        <w:rPr>
          <w:rFonts w:hint="eastAsia" w:ascii="仿宋" w:hAnsi="仿宋" w:eastAsia="仿宋" w:cs="仿宋"/>
          <w:b/>
          <w:bCs/>
          <w:i w:val="0"/>
          <w:iCs w:val="0"/>
          <w:caps w:val="0"/>
          <w:color w:val="000000"/>
          <w:spacing w:val="0"/>
          <w:sz w:val="31"/>
          <w:szCs w:val="31"/>
        </w:rPr>
        <w:t>一</w:t>
      </w:r>
      <w:r>
        <w:rPr>
          <w:rFonts w:hint="eastAsia" w:ascii="仿宋" w:hAnsi="仿宋" w:eastAsia="仿宋" w:cs="仿宋"/>
          <w:b w:val="0"/>
          <w:bCs w:val="0"/>
          <w:i w:val="0"/>
          <w:iCs w:val="0"/>
          <w:caps w:val="0"/>
          <w:color w:val="000000"/>
          <w:spacing w:val="0"/>
          <w:sz w:val="31"/>
          <w:szCs w:val="31"/>
        </w:rPr>
        <w:t>般公共预算财政拨款项目支出决算表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十、</w:t>
      </w:r>
      <w:r>
        <w:rPr>
          <w:rFonts w:hint="eastAsia" w:ascii="仿宋" w:hAnsi="仿宋" w:eastAsia="仿宋" w:cs="仿宋"/>
          <w:b/>
          <w:bCs/>
          <w:i w:val="0"/>
          <w:iCs w:val="0"/>
          <w:caps w:val="0"/>
          <w:color w:val="000000"/>
          <w:spacing w:val="0"/>
          <w:sz w:val="31"/>
          <w:szCs w:val="31"/>
        </w:rPr>
        <w:t>政</w:t>
      </w:r>
      <w:r>
        <w:rPr>
          <w:rFonts w:hint="eastAsia" w:ascii="仿宋" w:hAnsi="仿宋" w:eastAsia="仿宋" w:cs="仿宋"/>
          <w:b w:val="0"/>
          <w:bCs w:val="0"/>
          <w:i w:val="0"/>
          <w:iCs w:val="0"/>
          <w:caps w:val="0"/>
          <w:color w:val="000000"/>
          <w:spacing w:val="0"/>
          <w:sz w:val="31"/>
          <w:szCs w:val="31"/>
        </w:rPr>
        <w:t>府性基金预算财政拨款收入支出决算表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十一、</w:t>
      </w:r>
      <w:r>
        <w:rPr>
          <w:rFonts w:hint="eastAsia" w:ascii="仿宋" w:hAnsi="仿宋" w:eastAsia="仿宋" w:cs="仿宋"/>
          <w:b/>
          <w:bCs/>
          <w:i w:val="0"/>
          <w:iCs w:val="0"/>
          <w:caps w:val="0"/>
          <w:color w:val="000000"/>
          <w:spacing w:val="0"/>
          <w:sz w:val="31"/>
          <w:szCs w:val="31"/>
        </w:rPr>
        <w:t>国</w:t>
      </w:r>
      <w:r>
        <w:rPr>
          <w:rFonts w:hint="eastAsia" w:ascii="仿宋" w:hAnsi="仿宋" w:eastAsia="仿宋" w:cs="仿宋"/>
          <w:b w:val="0"/>
          <w:bCs w:val="0"/>
          <w:i w:val="0"/>
          <w:iCs w:val="0"/>
          <w:caps w:val="0"/>
          <w:color w:val="000000"/>
          <w:spacing w:val="0"/>
          <w:sz w:val="31"/>
          <w:szCs w:val="31"/>
        </w:rPr>
        <w:t>有资本经营预算财政拨款收入支出决算表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十二、国有资本经营预算财政拨款支出决算表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bCs/>
          <w:i w:val="0"/>
          <w:iCs w:val="0"/>
          <w:caps w:val="0"/>
          <w:color w:val="000000"/>
          <w:spacing w:val="0"/>
          <w:sz w:val="39"/>
          <w:szCs w:val="39"/>
        </w:rPr>
      </w:pPr>
      <w:r>
        <w:rPr>
          <w:rFonts w:hint="eastAsia" w:ascii="仿宋" w:hAnsi="仿宋" w:eastAsia="仿宋" w:cs="仿宋"/>
          <w:b w:val="0"/>
          <w:bCs w:val="0"/>
          <w:i w:val="0"/>
          <w:iCs w:val="0"/>
          <w:caps w:val="0"/>
          <w:color w:val="000000"/>
          <w:spacing w:val="0"/>
          <w:sz w:val="31"/>
          <w:szCs w:val="31"/>
        </w:rPr>
        <w:t>十三、财政拨款“三公”经费支出决算表</w:t>
      </w:r>
    </w:p>
    <w:p>
      <w:pPr>
        <w:pStyle w:val="4"/>
        <w:rPr>
          <w:rFonts w:hint="eastAsia" w:eastAsia="仿宋"/>
          <w:color w:val="auto"/>
          <w:highlight w:val="none"/>
          <w:lang w:eastAsia="zh-CN"/>
        </w:rPr>
      </w:pP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8</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7EE55BF3"/>
    <w:multiLevelType w:val="multilevel"/>
    <w:tmpl w:val="7EE55BF3"/>
    <w:lvl w:ilvl="0" w:tentative="0">
      <w:start w:val="1"/>
      <w:numFmt w:val="chineseCountingThousand"/>
      <w:pStyle w:val="36"/>
      <w:suff w:val="nothing"/>
      <w:lvlText w:val="（%1）"/>
      <w:lvlJc w:val="left"/>
      <w:pPr>
        <w:ind w:left="5" w:firstLine="635"/>
      </w:pPr>
      <w:rPr>
        <w:rFonts w:hint="eastAsia"/>
        <w:b/>
      </w:rPr>
    </w:lvl>
    <w:lvl w:ilvl="1" w:tentative="0">
      <w:start w:val="1"/>
      <w:numFmt w:val="decimal"/>
      <w:lvlText w:val="%2."/>
      <w:lvlJc w:val="left"/>
      <w:pPr>
        <w:ind w:left="985" w:hanging="360"/>
      </w:pPr>
      <w:rPr>
        <w:rFonts w:hint="default"/>
      </w:rPr>
    </w:lvl>
    <w:lvl w:ilvl="2" w:tentative="0">
      <w:start w:val="1"/>
      <w:numFmt w:val="lowerRoman"/>
      <w:lvlText w:val="%3."/>
      <w:lvlJc w:val="right"/>
      <w:pPr>
        <w:ind w:left="1465" w:hanging="420"/>
      </w:pPr>
    </w:lvl>
    <w:lvl w:ilvl="3" w:tentative="0">
      <w:start w:val="1"/>
      <w:numFmt w:val="decimal"/>
      <w:lvlText w:val="%4."/>
      <w:lvlJc w:val="left"/>
      <w:pPr>
        <w:ind w:left="1885" w:hanging="420"/>
      </w:pPr>
    </w:lvl>
    <w:lvl w:ilvl="4" w:tentative="0">
      <w:start w:val="1"/>
      <w:numFmt w:val="lowerLetter"/>
      <w:lvlText w:val="%5)"/>
      <w:lvlJc w:val="left"/>
      <w:pPr>
        <w:ind w:left="2305" w:hanging="420"/>
      </w:pPr>
    </w:lvl>
    <w:lvl w:ilvl="5" w:tentative="0">
      <w:start w:val="1"/>
      <w:numFmt w:val="lowerRoman"/>
      <w:lvlText w:val="%6."/>
      <w:lvlJc w:val="right"/>
      <w:pPr>
        <w:ind w:left="2725" w:hanging="420"/>
      </w:pPr>
    </w:lvl>
    <w:lvl w:ilvl="6" w:tentative="0">
      <w:start w:val="1"/>
      <w:numFmt w:val="decimal"/>
      <w:lvlText w:val="%7."/>
      <w:lvlJc w:val="left"/>
      <w:pPr>
        <w:ind w:left="3145" w:hanging="420"/>
      </w:pPr>
    </w:lvl>
    <w:lvl w:ilvl="7" w:tentative="0">
      <w:start w:val="1"/>
      <w:numFmt w:val="lowerLetter"/>
      <w:lvlText w:val="%8)"/>
      <w:lvlJc w:val="left"/>
      <w:pPr>
        <w:ind w:left="3565" w:hanging="420"/>
      </w:pPr>
    </w:lvl>
    <w:lvl w:ilvl="8" w:tentative="0">
      <w:start w:val="1"/>
      <w:numFmt w:val="lowerRoman"/>
      <w:lvlText w:val="%9."/>
      <w:lvlJc w:val="right"/>
      <w:pPr>
        <w:ind w:left="398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VkNzQyY2IwZTQyMjJmNDBkNTI1NmVlOGNkNWQ2OW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5445D7C"/>
    <w:rsid w:val="05E45016"/>
    <w:rsid w:val="066E0107"/>
    <w:rsid w:val="07996F6E"/>
    <w:rsid w:val="0A2032A3"/>
    <w:rsid w:val="0F98263C"/>
    <w:rsid w:val="0FE85F8A"/>
    <w:rsid w:val="101860EC"/>
    <w:rsid w:val="10C055FF"/>
    <w:rsid w:val="118107EC"/>
    <w:rsid w:val="13806B2E"/>
    <w:rsid w:val="13916645"/>
    <w:rsid w:val="13D50BC4"/>
    <w:rsid w:val="14914914"/>
    <w:rsid w:val="15113847"/>
    <w:rsid w:val="15284D87"/>
    <w:rsid w:val="1615774C"/>
    <w:rsid w:val="16BB723D"/>
    <w:rsid w:val="16FD7933"/>
    <w:rsid w:val="17C2538C"/>
    <w:rsid w:val="181C55DE"/>
    <w:rsid w:val="1B171B26"/>
    <w:rsid w:val="1BE8440E"/>
    <w:rsid w:val="1D155CEE"/>
    <w:rsid w:val="1D245692"/>
    <w:rsid w:val="1EB4768C"/>
    <w:rsid w:val="1F482E99"/>
    <w:rsid w:val="1FBA6DC9"/>
    <w:rsid w:val="1FF35744"/>
    <w:rsid w:val="214163B9"/>
    <w:rsid w:val="23860B96"/>
    <w:rsid w:val="240371BF"/>
    <w:rsid w:val="254554E2"/>
    <w:rsid w:val="265C486F"/>
    <w:rsid w:val="268838D8"/>
    <w:rsid w:val="275D3457"/>
    <w:rsid w:val="29286271"/>
    <w:rsid w:val="29483EF7"/>
    <w:rsid w:val="29FD04D3"/>
    <w:rsid w:val="2C8A61B5"/>
    <w:rsid w:val="2DF04E50"/>
    <w:rsid w:val="2E204D3E"/>
    <w:rsid w:val="2E9077CD"/>
    <w:rsid w:val="2F040D46"/>
    <w:rsid w:val="313A5965"/>
    <w:rsid w:val="319F7F4E"/>
    <w:rsid w:val="31DE7591"/>
    <w:rsid w:val="3304709D"/>
    <w:rsid w:val="35DB4E63"/>
    <w:rsid w:val="36AA5135"/>
    <w:rsid w:val="372F1B4E"/>
    <w:rsid w:val="375325B8"/>
    <w:rsid w:val="376D39B2"/>
    <w:rsid w:val="37E16F03"/>
    <w:rsid w:val="380F5B42"/>
    <w:rsid w:val="38D469F0"/>
    <w:rsid w:val="39581C91"/>
    <w:rsid w:val="39C3314D"/>
    <w:rsid w:val="3AE945E9"/>
    <w:rsid w:val="3CEE31DD"/>
    <w:rsid w:val="3D98207C"/>
    <w:rsid w:val="3E725142"/>
    <w:rsid w:val="3E78745D"/>
    <w:rsid w:val="3FB96069"/>
    <w:rsid w:val="40C8170B"/>
    <w:rsid w:val="42396920"/>
    <w:rsid w:val="42587092"/>
    <w:rsid w:val="42B86DC5"/>
    <w:rsid w:val="42F20DCB"/>
    <w:rsid w:val="4361616E"/>
    <w:rsid w:val="44E268DA"/>
    <w:rsid w:val="457D0BD6"/>
    <w:rsid w:val="46CE4EDF"/>
    <w:rsid w:val="4A627F82"/>
    <w:rsid w:val="4ABA5A5B"/>
    <w:rsid w:val="4B0E749A"/>
    <w:rsid w:val="4B4F25DA"/>
    <w:rsid w:val="4BE068DB"/>
    <w:rsid w:val="4D577224"/>
    <w:rsid w:val="4EAB630A"/>
    <w:rsid w:val="4ECE2238"/>
    <w:rsid w:val="508B03EB"/>
    <w:rsid w:val="50D339D8"/>
    <w:rsid w:val="537E6D0A"/>
    <w:rsid w:val="53F40A48"/>
    <w:rsid w:val="5455622F"/>
    <w:rsid w:val="554B508E"/>
    <w:rsid w:val="56512F7A"/>
    <w:rsid w:val="59127035"/>
    <w:rsid w:val="597452B9"/>
    <w:rsid w:val="59AA2745"/>
    <w:rsid w:val="5AF92295"/>
    <w:rsid w:val="5CC673A8"/>
    <w:rsid w:val="5CD71FC4"/>
    <w:rsid w:val="5D38675F"/>
    <w:rsid w:val="5D77260F"/>
    <w:rsid w:val="5FB32A6C"/>
    <w:rsid w:val="616927E9"/>
    <w:rsid w:val="65391328"/>
    <w:rsid w:val="68530749"/>
    <w:rsid w:val="69085FBC"/>
    <w:rsid w:val="69CF0BDC"/>
    <w:rsid w:val="6BD050D2"/>
    <w:rsid w:val="6C4A05C8"/>
    <w:rsid w:val="6E7E3605"/>
    <w:rsid w:val="6F8E5F54"/>
    <w:rsid w:val="6FB1276B"/>
    <w:rsid w:val="6FF5CC65"/>
    <w:rsid w:val="715C0E4B"/>
    <w:rsid w:val="71BA3A88"/>
    <w:rsid w:val="72491DB5"/>
    <w:rsid w:val="7260799B"/>
    <w:rsid w:val="72734D90"/>
    <w:rsid w:val="73AD73D5"/>
    <w:rsid w:val="73B6EB34"/>
    <w:rsid w:val="73B726D3"/>
    <w:rsid w:val="744731E5"/>
    <w:rsid w:val="75114065"/>
    <w:rsid w:val="76E3355F"/>
    <w:rsid w:val="778769C8"/>
    <w:rsid w:val="77E42402"/>
    <w:rsid w:val="78424C0F"/>
    <w:rsid w:val="78D24461"/>
    <w:rsid w:val="799608E2"/>
    <w:rsid w:val="79EE5BA4"/>
    <w:rsid w:val="7A894339"/>
    <w:rsid w:val="7CAE53DC"/>
    <w:rsid w:val="7E954413"/>
    <w:rsid w:val="7EEF11D3"/>
    <w:rsid w:val="7F007624"/>
    <w:rsid w:val="7F7803B6"/>
    <w:rsid w:val="7FA30C79"/>
    <w:rsid w:val="7FB7269E"/>
    <w:rsid w:val="7FC96657"/>
    <w:rsid w:val="D8D6DB89"/>
    <w:rsid w:val="DB6F4CAB"/>
    <w:rsid w:val="DF6F97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99"/>
    <w:pPr>
      <w:widowControl w:val="0"/>
      <w:spacing w:before="240" w:after="60"/>
      <w:jc w:val="center"/>
      <w:outlineLvl w:val="0"/>
    </w:pPr>
    <w:rPr>
      <w:rFonts w:ascii="Arial" w:hAnsi="Arial" w:eastAsia="宋体" w:cs="Arial"/>
      <w:bCs/>
      <w:kern w:val="2"/>
      <w:sz w:val="21"/>
      <w:szCs w:val="21"/>
      <w:lang w:val="en-US" w:eastAsia="zh-CN" w:bidi="ar-SA"/>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2"/>
    <w:semiHidden/>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qFormat/>
    <w:uiPriority w:val="0"/>
    <w:pPr>
      <w:jc w:val="left"/>
    </w:pPr>
    <w:rPr>
      <w:rFonts w:ascii="Calibri" w:hAnsi="Calibri"/>
      <w:kern w:val="0"/>
      <w:sz w:val="24"/>
    </w:r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1"/>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0"/>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3"/>
    <w:qFormat/>
    <w:uiPriority w:val="9"/>
    <w:rPr>
      <w:rFonts w:ascii="Times New Roman" w:hAnsi="Times New Roman"/>
      <w:b/>
      <w:bCs/>
      <w:kern w:val="44"/>
      <w:sz w:val="44"/>
      <w:szCs w:val="44"/>
    </w:rPr>
  </w:style>
  <w:style w:type="character" w:customStyle="1" w:styleId="30">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9"/>
    <w:semiHidden/>
    <w:qFormat/>
    <w:uiPriority w:val="99"/>
    <w:rPr>
      <w:rFonts w:ascii="Times New Roman" w:hAnsi="Times New Roman"/>
      <w:kern w:val="2"/>
      <w:sz w:val="18"/>
      <w:szCs w:val="18"/>
    </w:rPr>
  </w:style>
  <w:style w:type="character" w:customStyle="1" w:styleId="33">
    <w:name w:val="标题 3 Char"/>
    <w:basedOn w:val="17"/>
    <w:link w:val="5"/>
    <w:qFormat/>
    <w:uiPriority w:val="9"/>
    <w:rPr>
      <w:rFonts w:ascii="Times New Roman" w:hAnsi="Times New Roman"/>
      <w:b/>
      <w:bCs/>
      <w:kern w:val="2"/>
      <w:sz w:val="32"/>
      <w:szCs w:val="32"/>
    </w:rPr>
  </w:style>
  <w:style w:type="paragraph" w:customStyle="1" w:styleId="34">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eastAsia="宋体"/>
      <w:color w:val="000000"/>
      <w:kern w:val="0"/>
      <w:sz w:val="28"/>
      <w:szCs w:val="21"/>
      <w:lang w:val="zh-CN" w:eastAsia="zh-CN"/>
    </w:rPr>
  </w:style>
  <w:style w:type="paragraph" w:customStyle="1" w:styleId="36">
    <w:name w:val="〖B02〗二级标题"/>
    <w:next w:val="1"/>
    <w:qFormat/>
    <w:uiPriority w:val="0"/>
    <w:pPr>
      <w:widowControl w:val="0"/>
      <w:numPr>
        <w:ilvl w:val="0"/>
        <w:numId w:val="1"/>
      </w:numPr>
      <w:spacing w:line="600" w:lineRule="exact"/>
      <w:outlineLvl w:val="1"/>
    </w:pPr>
    <w:rPr>
      <w:rFonts w:ascii="楷体_GB2312" w:hAnsi="Calibri" w:eastAsia="楷体_GB2312" w:cs="Times New Roman"/>
      <w:kern w:val="2"/>
      <w:sz w:val="32"/>
      <w:szCs w:val="21"/>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收支总计变动情况图</a:t>
            </a:r>
          </a:p>
        </c:rich>
      </c:tx>
      <c:layout/>
      <c:overlay val="0"/>
      <c:spPr>
        <a:noFill/>
        <a:ln>
          <a:noFill/>
        </a:ln>
        <a:effectLst/>
      </c:spPr>
    </c:title>
    <c:autoTitleDeleted val="0"/>
    <c:plotArea>
      <c:layout>
        <c:manualLayout>
          <c:layoutTarget val="inner"/>
          <c:xMode val="edge"/>
          <c:yMode val="edge"/>
          <c:x val="0.0310838445807771"/>
          <c:y val="0.306895680727456"/>
          <c:w val="0.940013633265167"/>
          <c:h val="0.570952260671887"/>
        </c:manualLayout>
      </c:layout>
      <c:barChart>
        <c:barDir val="col"/>
        <c:grouping val="clustered"/>
        <c:varyColors val="0"/>
        <c:ser>
          <c:idx val="0"/>
          <c:order val="0"/>
          <c:tx>
            <c:strRef>
              <c:f>Sheet1!$B$1</c:f>
              <c:strCache>
                <c:ptCount val="1"/>
                <c:pt idx="0">
                  <c:v>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2021年收支总计</c:v>
                </c:pt>
                <c:pt idx="1">
                  <c:v>2022年收支总计</c:v>
                </c:pt>
              </c:strCache>
            </c:strRef>
          </c:cat>
          <c:val>
            <c:numRef>
              <c:f>Sheet1!$B$2:$B$3</c:f>
              <c:numCache>
                <c:formatCode>General</c:formatCode>
                <c:ptCount val="2"/>
                <c:pt idx="0">
                  <c:v>228.94</c:v>
                </c:pt>
                <c:pt idx="1">
                  <c:v>251.8</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manualLayout>
          <c:xMode val="edge"/>
          <c:yMode val="edge"/>
          <c:x val="0.314587593728698"/>
          <c:y val="0.20121422376409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Sheet1!$B$2:$B$9</c:f>
              <c:numCache>
                <c:formatCode>General</c:formatCode>
                <c:ptCount val="8"/>
                <c:pt idx="0">
                  <c:v>100</c:v>
                </c:pt>
                <c:pt idx="1">
                  <c:v>0</c:v>
                </c:pt>
                <c:pt idx="2">
                  <c:v>0</c:v>
                </c:pt>
                <c:pt idx="3">
                  <c:v>0</c:v>
                </c:pt>
                <c:pt idx="4">
                  <c:v>0</c:v>
                </c:pt>
                <c:pt idx="5">
                  <c:v>0</c:v>
                </c:pt>
                <c:pt idx="6">
                  <c:v>0</c:v>
                </c:pt>
                <c:pt idx="7">
                  <c:v>0</c:v>
                </c:pt>
              </c:numCache>
            </c:numRef>
          </c:val>
        </c:ser>
        <c:ser>
          <c:idx val="1"/>
          <c:order val="1"/>
          <c:tx>
            <c:strRef>
              <c:f>Sheet1!$C$1</c:f>
              <c:strCache>
                <c:ptCount val="1"/>
                <c:pt idx="0">
                  <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Lbls>
            <c:delete val="1"/>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Sheet1!$C$2:$C$8</c:f>
              <c:numCache>
                <c:formatCode>General</c:formatCode>
                <c:ptCount val="7"/>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84.17</c:v>
                </c:pt>
                <c:pt idx="1">
                  <c:v>15.83</c:v>
                </c:pt>
                <c:pt idx="2">
                  <c:v>0</c:v>
                </c:pt>
                <c:pt idx="3">
                  <c:v>0</c:v>
                </c:pt>
                <c:pt idx="4">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2021年财政拨款收支总计</c:v>
                </c:pt>
                <c:pt idx="1">
                  <c:v>2022年财政拨款收支总计</c:v>
                </c:pt>
              </c:strCache>
            </c:strRef>
          </c:cat>
          <c:val>
            <c:numRef>
              <c:f>Sheet1!$B$2:$B$3</c:f>
              <c:numCache>
                <c:formatCode>General</c:formatCode>
                <c:ptCount val="2"/>
                <c:pt idx="0">
                  <c:v>228.94</c:v>
                </c:pt>
                <c:pt idx="1">
                  <c:v>251.71</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一般公共预算财政拨款支出变化图（万元）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2021年一般公共预算财政拨款收支总计</c:v>
                </c:pt>
                <c:pt idx="1">
                  <c:v>2022年一般公共预算财政拨款收支总计</c:v>
                </c:pt>
              </c:strCache>
            </c:strRef>
          </c:cat>
          <c:val>
            <c:numRef>
              <c:f>Sheet1!$B$2:$B$3</c:f>
              <c:numCache>
                <c:formatCode>General</c:formatCode>
                <c:ptCount val="2"/>
                <c:pt idx="0">
                  <c:v>228.94</c:v>
                </c:pt>
                <c:pt idx="1">
                  <c:v>251.71</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600" b="1" i="0" u="none" strike="noStrike" kern="1200" cap="all"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一般公共预算财政拨款支出决算结构图</c:v>
                </c:pt>
              </c:strCache>
            </c:strRef>
          </c:tx>
          <c:spPr/>
          <c:explosion val="0"/>
          <c:dPt>
            <c:idx val="0"/>
            <c:bubble3D val="0"/>
            <c:spPr>
              <a:solidFill>
                <a:schemeClr val="accent1"/>
              </a:solidFill>
              <a:ln>
                <a:noFill/>
              </a:ln>
              <a:effectLst>
                <a:outerShdw blurRad="63500" sx="102000" sy="102000" algn="ctr" rotWithShape="0">
                  <a:prstClr val="black">
                    <a:alpha val="20000"/>
                  </a:prstClr>
                </a:outerShdw>
              </a:effectLst>
            </c:spPr>
          </c:dPt>
          <c:dPt>
            <c:idx val="1"/>
            <c:bubble3D val="0"/>
            <c:spPr>
              <a:solidFill>
                <a:schemeClr val="accent2"/>
              </a:solidFill>
              <a:ln>
                <a:noFill/>
              </a:ln>
              <a:effectLst>
                <a:outerShdw blurRad="63500" sx="102000" sy="102000" algn="ctr" rotWithShape="0">
                  <a:prstClr val="black">
                    <a:alpha val="20000"/>
                  </a:prstClr>
                </a:outerShdw>
              </a:effectLst>
            </c:spPr>
          </c:dPt>
          <c:dPt>
            <c:idx val="2"/>
            <c:bubble3D val="0"/>
            <c:spPr>
              <a:solidFill>
                <a:schemeClr val="accent3"/>
              </a:solidFill>
              <a:ln>
                <a:noFill/>
              </a:ln>
              <a:effectLst>
                <a:outerShdw blurRad="63500" sx="102000" sy="102000" algn="ctr" rotWithShape="0">
                  <a:prstClr val="black">
                    <a:alpha val="20000"/>
                  </a:prstClr>
                </a:outerShdw>
              </a:effectLst>
            </c:spPr>
          </c:dPt>
          <c:dPt>
            <c:idx val="3"/>
            <c:bubble3D val="0"/>
            <c:spPr>
              <a:solidFill>
                <a:schemeClr val="accent4"/>
              </a:solidFill>
              <a:ln>
                <a:noFill/>
              </a:ln>
              <a:effectLst>
                <a:outerShdw blurRad="63500" sx="102000" sy="102000" algn="ctr" rotWithShape="0">
                  <a:prstClr val="black">
                    <a:alpha val="20000"/>
                  </a:prstClr>
                </a:outerShdw>
              </a:effectLst>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一般公共服务（类）支出</c:v>
                </c:pt>
                <c:pt idx="1">
                  <c:v>社会保障和就业（类）支出</c:v>
                </c:pt>
                <c:pt idx="2">
                  <c:v>卫生健康支出</c:v>
                </c:pt>
                <c:pt idx="3">
                  <c:v>住房保障支出</c:v>
                </c:pt>
              </c:strCache>
            </c:strRef>
          </c:cat>
          <c:val>
            <c:numRef>
              <c:f>Sheet1!$B$2:$B$5</c:f>
              <c:numCache>
                <c:formatCode>General</c:formatCode>
                <c:ptCount val="4"/>
                <c:pt idx="0">
                  <c:v>82.03</c:v>
                </c:pt>
                <c:pt idx="1">
                  <c:v>8.92</c:v>
                </c:pt>
                <c:pt idx="2">
                  <c:v>2.37</c:v>
                </c:pt>
                <c:pt idx="3">
                  <c:v>6.68</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“三公”经费财政拨款支出结构图</c:v>
                </c:pt>
              </c:strCache>
            </c:strRef>
          </c:tx>
          <c:spPr/>
          <c:explosion val="0"/>
          <c:dPt>
            <c:idx val="0"/>
            <c:bubble3D val="0"/>
            <c:spPr>
              <a:solidFill>
                <a:schemeClr val="accent1">
                  <a:shade val="65000"/>
                </a:schemeClr>
              </a:solidFill>
              <a:ln w="19050">
                <a:solidFill>
                  <a:schemeClr val="lt1"/>
                </a:solidFill>
              </a:ln>
              <a:effectLst/>
            </c:spPr>
          </c:dPt>
          <c:dPt>
            <c:idx val="1"/>
            <c:bubble3D val="0"/>
            <c:spPr>
              <a:solidFill>
                <a:schemeClr val="accent1"/>
              </a:solidFill>
              <a:ln w="19050">
                <a:solidFill>
                  <a:schemeClr val="lt1"/>
                </a:solidFill>
              </a:ln>
              <a:effectLst/>
            </c:spPr>
          </c:dPt>
          <c:dPt>
            <c:idx val="2"/>
            <c:bubble3D val="0"/>
            <c:spPr>
              <a:solidFill>
                <a:schemeClr val="accent1">
                  <a:tint val="65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0</c:v>
                </c:pt>
                <c:pt idx="2">
                  <c:v>100</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withinLinear" id="14">
  <a:schemeClr val="accent1"/>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1299</Words>
  <Characters>7410</Characters>
  <Lines>61</Lines>
  <Paragraphs>17</Paragraphs>
  <TotalTime>1</TotalTime>
  <ScaleCrop>false</ScaleCrop>
  <LinksUpToDate>false</LinksUpToDate>
  <CharactersWithSpaces>8692</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123</cp:lastModifiedBy>
  <cp:lastPrinted>2023-07-31T02:35:00Z</cp:lastPrinted>
  <dcterms:modified xsi:type="dcterms:W3CDTF">2023-09-28T02:44:22Z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09612565D5C9416C960D0625C1FD24A5</vt:lpwstr>
  </property>
</Properties>
</file>