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597"/>
      <w:bookmarkStart w:id="2" w:name="_Toc15377425"/>
      <w:bookmarkStart w:id="3" w:name="_Toc15378441"/>
      <w:bookmarkStart w:id="4" w:name="_Toc15396475"/>
      <w:bookmarkStart w:id="5" w:name="_Toc15377193"/>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p>
    <w:bookmarkEnd w:id="0"/>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OLE_LINK4"/>
      <w:bookmarkStart w:id="7" w:name="_Toc15377194"/>
      <w:bookmarkStart w:id="8" w:name="_Toc15306268"/>
      <w:bookmarkStart w:id="9" w:name="_Toc15396598"/>
      <w:bookmarkStart w:id="10" w:name="_Toc15378442"/>
      <w:bookmarkStart w:id="11" w:name="_Toc15377426"/>
      <w:bookmarkStart w:id="12" w:name="_Toc15396476"/>
      <w:r>
        <w:rPr>
          <w:rFonts w:hint="eastAsia" w:ascii="方正小标宋简体" w:hAnsi="方正小标宋简体" w:eastAsia="方正小标宋简体" w:cs="方正小标宋简体"/>
          <w:sz w:val="72"/>
          <w:szCs w:val="72"/>
        </w:rPr>
        <w:t>乐山市金口河区驻乐</w:t>
      </w:r>
      <w:r>
        <w:rPr>
          <w:rFonts w:hint="eastAsia" w:ascii="方正小标宋简体" w:hAnsi="方正小标宋简体" w:eastAsia="方正小标宋简体" w:cs="方正小标宋简体"/>
          <w:sz w:val="72"/>
          <w:szCs w:val="72"/>
          <w:lang w:eastAsia="zh-CN"/>
        </w:rPr>
        <w:t>山</w:t>
      </w:r>
      <w:r>
        <w:rPr>
          <w:rFonts w:hint="eastAsia" w:ascii="方正小标宋简体" w:hAnsi="方正小标宋简体" w:eastAsia="方正小标宋简体" w:cs="方正小标宋简体"/>
          <w:sz w:val="72"/>
          <w:szCs w:val="72"/>
        </w:rPr>
        <w:t>事务服务中心</w:t>
      </w:r>
      <w:bookmarkEnd w:id="6"/>
      <w:r>
        <w:rPr>
          <w:rFonts w:hint="eastAsia" w:ascii="方正小标宋简体" w:hAnsi="方正小标宋简体" w:eastAsia="方正小标宋简体" w:cs="方正小标宋简体"/>
          <w:sz w:val="72"/>
          <w:szCs w:val="72"/>
        </w:rPr>
        <w:t>单位决算</w:t>
      </w:r>
      <w:bookmarkEnd w:id="7"/>
      <w:bookmarkEnd w:id="8"/>
      <w:bookmarkEnd w:id="9"/>
      <w:bookmarkEnd w:id="10"/>
      <w:bookmarkEnd w:id="11"/>
      <w:bookmarkEnd w:id="12"/>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pPr>
      <w:r>
        <w:rPr>
          <w:rFonts w:hint="eastAsia"/>
        </w:rPr>
        <w:t>公开时间：202</w:t>
      </w:r>
      <w:r>
        <w:rPr>
          <w:rFonts w:hint="eastAsia"/>
          <w:lang w:val="en-US" w:eastAsia="zh-CN"/>
        </w:rPr>
        <w:t>4</w:t>
      </w:r>
      <w:r>
        <w:rPr>
          <w:rFonts w:hint="eastAsia"/>
        </w:rPr>
        <w:t>年9月6日</w:t>
      </w:r>
    </w:p>
    <w:p/>
    <w:p>
      <w:pPr>
        <w:pStyle w:val="12"/>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单位概况</w:t>
      </w:r>
      <w:bookmarkStart w:id="13" w:name="OLE_LINK15"/>
      <w:bookmarkStart w:id="14" w:name="OLE_LINK13"/>
      <w:r>
        <w:rPr>
          <w:rFonts w:hint="eastAsia"/>
          <w:sz w:val="24"/>
          <w:lang w:val="en-US" w:eastAsia="zh-CN"/>
        </w:rPr>
        <w:t>························4</w:t>
      </w:r>
    </w:p>
    <w:bookmarkEnd w:id="13"/>
    <w:p>
      <w:pPr>
        <w:pStyle w:val="13"/>
        <w:adjustRightInd w:val="0"/>
        <w:snapToGrid w:val="0"/>
        <w:spacing w:line="440" w:lineRule="exact"/>
        <w:jc w:val="left"/>
        <w:rPr>
          <w:rFonts w:hint="default" w:eastAsia="宋体"/>
          <w:sz w:val="24"/>
          <w:lang w:val="en-US" w:eastAsia="zh-CN"/>
        </w:rPr>
      </w:pPr>
      <w:r>
        <w:rPr>
          <w:rFonts w:hint="eastAsia"/>
          <w:sz w:val="24"/>
        </w:rPr>
        <w:t>一、主要职责</w:t>
      </w:r>
      <w:r>
        <w:rPr>
          <w:rFonts w:hint="eastAsia"/>
          <w:sz w:val="24"/>
          <w:lang w:val="en-US" w:eastAsia="zh-CN"/>
        </w:rPr>
        <w:t>·························4</w:t>
      </w:r>
    </w:p>
    <w:p>
      <w:pPr>
        <w:pStyle w:val="13"/>
        <w:adjustRightInd w:val="0"/>
        <w:snapToGrid w:val="0"/>
        <w:spacing w:line="440" w:lineRule="exact"/>
        <w:jc w:val="left"/>
        <w:rPr>
          <w:rFonts w:hint="default" w:eastAsia="宋体"/>
          <w:lang w:val="en-US" w:eastAsia="zh-CN"/>
        </w:rPr>
      </w:pPr>
      <w:r>
        <w:rPr>
          <w:rFonts w:hint="eastAsia"/>
          <w:sz w:val="24"/>
        </w:rPr>
        <w:t>二、机构设置</w:t>
      </w:r>
      <w:r>
        <w:rPr>
          <w:rFonts w:hint="eastAsia"/>
          <w:sz w:val="24"/>
          <w:lang w:val="en-US" w:eastAsia="zh-CN"/>
        </w:rPr>
        <w:t>·························4</w:t>
      </w:r>
    </w:p>
    <w:bookmarkEnd w:id="14"/>
    <w:p>
      <w:pPr>
        <w:pStyle w:val="12"/>
        <w:adjustRightInd w:val="0"/>
        <w:snapToGrid w:val="0"/>
        <w:spacing w:before="0" w:line="440" w:lineRule="exact"/>
        <w:jc w:val="left"/>
        <w:rPr>
          <w:rFonts w:hint="default" w:eastAsia="仿宋"/>
          <w:sz w:val="24"/>
          <w:szCs w:val="24"/>
          <w:lang w:val="en-US" w:eastAsia="zh-CN"/>
        </w:rPr>
      </w:pPr>
      <w:r>
        <w:rPr>
          <w:rFonts w:hint="eastAsia"/>
          <w:sz w:val="24"/>
        </w:rPr>
        <w:t>第二部分 2023年度单位决算情况说明</w:t>
      </w:r>
      <w:r>
        <w:rPr>
          <w:rFonts w:hint="eastAsia"/>
          <w:sz w:val="24"/>
          <w:lang w:val="en-US" w:eastAsia="zh-CN"/>
        </w:rPr>
        <w:t>················5</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·················5</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·····················5</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·····················6</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·············6</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···········7</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·········10</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七、财政拨款“三公”经费支出决算情况说明</w:t>
      </w:r>
      <w:r>
        <w:rPr>
          <w:rFonts w:hint="eastAsia"/>
          <w:sz w:val="24"/>
          <w:lang w:val="en-US" w:eastAsia="zh-CN"/>
        </w:rPr>
        <w:t>···········10</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··············13</w:t>
      </w:r>
    </w:p>
    <w:p>
      <w:pPr>
        <w:pStyle w:val="13"/>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hint="eastAsia"/>
          <w:sz w:val="24"/>
          <w:lang w:val="en-US" w:eastAsia="zh-CN"/>
        </w:rPr>
        <w:t>·············13</w:t>
      </w:r>
    </w:p>
    <w:p>
      <w:pPr>
        <w:pStyle w:val="13"/>
        <w:adjustRightInd w:val="0"/>
        <w:snapToGrid w:val="0"/>
        <w:spacing w:line="440" w:lineRule="exact"/>
        <w:jc w:val="left"/>
        <w:rPr>
          <w:rFonts w:hint="default" w:eastAsia="宋体"/>
          <w:sz w:val="24"/>
          <w:lang w:val="en-US" w:eastAsia="zh-CN"/>
        </w:rPr>
      </w:pPr>
      <w:r>
        <w:rPr>
          <w:rFonts w:hint="eastAsia"/>
          <w:sz w:val="24"/>
        </w:rPr>
        <w:t>十、其他重要事项的情况说明</w:t>
      </w:r>
      <w:r>
        <w:rPr>
          <w:rFonts w:hint="eastAsia"/>
          <w:sz w:val="24"/>
          <w:lang w:val="en-US" w:eastAsia="zh-CN"/>
        </w:rPr>
        <w:t>··················13</w:t>
      </w:r>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第三部分</w:t>
      </w:r>
      <w:r>
        <w:rPr>
          <w:sz w:val="24"/>
        </w:rPr>
        <w:t xml:space="preserve"> </w:t>
      </w:r>
      <w:r>
        <w:rPr>
          <w:rFonts w:hint="eastAsia"/>
          <w:sz w:val="24"/>
        </w:rPr>
        <w:t>名词解释</w:t>
      </w:r>
      <w:r>
        <w:rPr>
          <w:rFonts w:hint="eastAsia"/>
          <w:sz w:val="24"/>
          <w:lang w:val="en-US" w:eastAsia="zh-CN"/>
        </w:rPr>
        <w:t>························15</w:t>
      </w:r>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第四部分</w:t>
      </w:r>
      <w:r>
        <w:rPr>
          <w:sz w:val="24"/>
        </w:rPr>
        <w:t xml:space="preserve"> </w:t>
      </w:r>
      <w:r>
        <w:rPr>
          <w:rFonts w:hint="eastAsia"/>
          <w:sz w:val="24"/>
        </w:rPr>
        <w:t>附件</w:t>
      </w:r>
      <w:r>
        <w:rPr>
          <w:rFonts w:hint="eastAsia"/>
          <w:sz w:val="24"/>
          <w:lang w:val="en-US" w:eastAsia="zh-CN"/>
        </w:rPr>
        <w:t>··························18</w:t>
      </w:r>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第五部分</w:t>
      </w:r>
      <w:r>
        <w:rPr>
          <w:sz w:val="24"/>
        </w:rPr>
        <w:t xml:space="preserve"> </w:t>
      </w:r>
      <w:r>
        <w:rPr>
          <w:rFonts w:hint="eastAsia"/>
          <w:sz w:val="24"/>
        </w:rPr>
        <w:t>附表</w:t>
      </w:r>
      <w:r>
        <w:rPr>
          <w:rFonts w:hint="eastAsia"/>
          <w:sz w:val="24"/>
          <w:lang w:val="en-US" w:eastAsia="zh-CN"/>
        </w:rPr>
        <w:t>··························21</w:t>
      </w:r>
    </w:p>
    <w:p>
      <w:pPr>
        <w:pStyle w:val="13"/>
        <w:adjustRightInd w:val="0"/>
        <w:snapToGrid w:val="0"/>
        <w:spacing w:line="440" w:lineRule="exact"/>
        <w:jc w:val="left"/>
        <w:rPr>
          <w:sz w:val="24"/>
        </w:rPr>
      </w:pPr>
      <w:r>
        <w:rPr>
          <w:rFonts w:hint="eastAsia"/>
          <w:sz w:val="24"/>
        </w:rPr>
        <w:t>一、收入支出决算总表</w:t>
      </w:r>
    </w:p>
    <w:p>
      <w:pPr>
        <w:pStyle w:val="13"/>
        <w:adjustRightInd w:val="0"/>
        <w:snapToGrid w:val="0"/>
        <w:spacing w:line="440" w:lineRule="exact"/>
        <w:jc w:val="left"/>
        <w:rPr>
          <w:sz w:val="24"/>
        </w:rPr>
      </w:pPr>
      <w:r>
        <w:rPr>
          <w:rFonts w:hint="eastAsia"/>
          <w:sz w:val="24"/>
        </w:rPr>
        <w:t>二、收入决算表</w:t>
      </w:r>
    </w:p>
    <w:p>
      <w:pPr>
        <w:pStyle w:val="13"/>
        <w:adjustRightInd w:val="0"/>
        <w:snapToGrid w:val="0"/>
        <w:spacing w:line="440" w:lineRule="exact"/>
        <w:jc w:val="left"/>
        <w:rPr>
          <w:sz w:val="24"/>
        </w:rPr>
      </w:pPr>
      <w:r>
        <w:rPr>
          <w:rFonts w:hint="eastAsia"/>
          <w:sz w:val="24"/>
        </w:rPr>
        <w:t>三、支出决算表</w:t>
      </w:r>
    </w:p>
    <w:p>
      <w:pPr>
        <w:pStyle w:val="13"/>
        <w:adjustRightInd w:val="0"/>
        <w:snapToGrid w:val="0"/>
        <w:spacing w:line="440" w:lineRule="exact"/>
        <w:jc w:val="left"/>
        <w:rPr>
          <w:sz w:val="24"/>
        </w:rPr>
      </w:pPr>
      <w:r>
        <w:rPr>
          <w:rFonts w:hint="eastAsia"/>
          <w:sz w:val="24"/>
        </w:rPr>
        <w:t>四、财政拨款收入支出决算总表</w:t>
      </w:r>
    </w:p>
    <w:p>
      <w:pPr>
        <w:pStyle w:val="13"/>
        <w:adjustRightInd w:val="0"/>
        <w:snapToGrid w:val="0"/>
        <w:spacing w:line="440" w:lineRule="exact"/>
        <w:jc w:val="left"/>
        <w:rPr>
          <w:sz w:val="24"/>
        </w:rPr>
      </w:pPr>
      <w:r>
        <w:rPr>
          <w:rFonts w:hint="eastAsia"/>
          <w:sz w:val="24"/>
        </w:rPr>
        <w:t>五、财政拨款支出决算明细表</w:t>
      </w:r>
    </w:p>
    <w:p>
      <w:pPr>
        <w:pStyle w:val="13"/>
        <w:adjustRightInd w:val="0"/>
        <w:snapToGrid w:val="0"/>
        <w:spacing w:line="440" w:lineRule="exact"/>
        <w:jc w:val="left"/>
        <w:rPr>
          <w:sz w:val="24"/>
        </w:rPr>
      </w:pPr>
      <w:r>
        <w:rPr>
          <w:rFonts w:hint="eastAsia"/>
          <w:sz w:val="24"/>
        </w:rPr>
        <w:t>六、一般公共预算财政拨款支出决算表</w:t>
      </w:r>
    </w:p>
    <w:p>
      <w:pPr>
        <w:pStyle w:val="13"/>
        <w:adjustRightInd w:val="0"/>
        <w:snapToGrid w:val="0"/>
        <w:spacing w:line="440" w:lineRule="exact"/>
        <w:jc w:val="left"/>
        <w:rPr>
          <w:sz w:val="24"/>
        </w:rPr>
      </w:pPr>
      <w:r>
        <w:rPr>
          <w:rFonts w:hint="eastAsia"/>
          <w:sz w:val="24"/>
        </w:rPr>
        <w:t>七、一般公共预算财政拨款支出决算明细表</w:t>
      </w:r>
    </w:p>
    <w:p>
      <w:pPr>
        <w:pStyle w:val="13"/>
        <w:adjustRightInd w:val="0"/>
        <w:snapToGrid w:val="0"/>
        <w:spacing w:line="440" w:lineRule="exact"/>
        <w:jc w:val="left"/>
        <w:rPr>
          <w:sz w:val="24"/>
        </w:rPr>
      </w:pPr>
      <w:r>
        <w:rPr>
          <w:rFonts w:hint="eastAsia"/>
          <w:sz w:val="24"/>
        </w:rPr>
        <w:t>八、一般公共预算财政拨款基本支出决算明细表</w:t>
      </w:r>
    </w:p>
    <w:p>
      <w:pPr>
        <w:pStyle w:val="13"/>
        <w:adjustRightInd w:val="0"/>
        <w:snapToGrid w:val="0"/>
        <w:spacing w:line="440" w:lineRule="exact"/>
        <w:jc w:val="left"/>
        <w:rPr>
          <w:sz w:val="24"/>
        </w:rPr>
      </w:pPr>
      <w:r>
        <w:rPr>
          <w:rFonts w:hint="eastAsia"/>
          <w:sz w:val="24"/>
        </w:rPr>
        <w:t>九、一般公共预算财政拨款项目支出决算表</w:t>
      </w:r>
    </w:p>
    <w:p>
      <w:pPr>
        <w:pStyle w:val="13"/>
        <w:adjustRightInd w:val="0"/>
        <w:snapToGrid w:val="0"/>
        <w:spacing w:line="440" w:lineRule="exact"/>
        <w:jc w:val="left"/>
        <w:rPr>
          <w:sz w:val="24"/>
        </w:rPr>
      </w:pPr>
      <w:r>
        <w:rPr>
          <w:rFonts w:hint="eastAsia"/>
          <w:sz w:val="24"/>
        </w:rPr>
        <w:t>十、政府性基金预算财政拨款收入支出决算表</w:t>
      </w:r>
    </w:p>
    <w:p>
      <w:pPr>
        <w:pStyle w:val="13"/>
        <w:adjustRightInd w:val="0"/>
        <w:snapToGrid w:val="0"/>
        <w:spacing w:line="440" w:lineRule="exact"/>
        <w:jc w:val="left"/>
        <w:rPr>
          <w:sz w:val="24"/>
        </w:rPr>
      </w:pPr>
      <w:r>
        <w:rPr>
          <w:rFonts w:hint="eastAsia"/>
          <w:sz w:val="24"/>
        </w:rPr>
        <w:t>十一、国有资本经营预算财政拨款收入支出决算表</w:t>
      </w:r>
    </w:p>
    <w:p>
      <w:pPr>
        <w:pStyle w:val="13"/>
        <w:adjustRightInd w:val="0"/>
        <w:snapToGrid w:val="0"/>
        <w:spacing w:line="440" w:lineRule="exact"/>
        <w:jc w:val="left"/>
        <w:rPr>
          <w:sz w:val="24"/>
        </w:rPr>
      </w:pPr>
      <w:r>
        <w:rPr>
          <w:rFonts w:hint="eastAsia"/>
          <w:sz w:val="24"/>
        </w:rPr>
        <w:t>十二、国有资本经营预算财政拨款支出决算表</w:t>
      </w:r>
    </w:p>
    <w:p>
      <w:pPr>
        <w:pStyle w:val="13"/>
        <w:adjustRightInd w:val="0"/>
        <w:snapToGrid w:val="0"/>
        <w:spacing w:line="440" w:lineRule="exact"/>
        <w:jc w:val="left"/>
        <w:rPr>
          <w:sz w:val="24"/>
        </w:rPr>
      </w:pPr>
      <w:r>
        <w:rPr>
          <w:rFonts w:hint="eastAsia"/>
          <w:sz w:val="24"/>
        </w:rPr>
        <w:t>十三、财政拨款“三公”经费支出决算表</w:t>
      </w:r>
    </w:p>
    <w:p>
      <w:pPr>
        <w:widowControl/>
        <w:spacing w:line="440" w:lineRule="exact"/>
        <w:jc w:val="left"/>
        <w:rPr>
          <w:rFonts w:ascii="仿宋" w:hAnsi="仿宋" w:eastAsia="仿宋"/>
          <w:bCs/>
          <w:kern w:val="44"/>
          <w:sz w:val="24"/>
        </w:rPr>
      </w:pPr>
      <w:bookmarkStart w:id="15" w:name="_Toc15396599"/>
      <w:bookmarkStart w:id="16" w:name="_Toc15377196"/>
      <w:r>
        <w:rPr>
          <w:rFonts w:ascii="仿宋" w:hAnsi="仿宋" w:eastAsia="仿宋"/>
          <w:b/>
          <w:sz w:val="24"/>
        </w:rPr>
        <w:br w:type="page"/>
      </w:r>
    </w:p>
    <w:p>
      <w:pPr>
        <w:pStyle w:val="3"/>
        <w:jc w:val="center"/>
        <w:rPr>
          <w:rStyle w:val="28"/>
          <w:rFonts w:ascii="黑体" w:hAnsi="黑体" w:eastAsia="黑体"/>
          <w:b/>
          <w:bCs w:val="0"/>
        </w:rPr>
      </w:pPr>
      <w:r>
        <w:rPr>
          <w:rFonts w:hint="eastAsia" w:ascii="黑体" w:hAnsi="黑体" w:eastAsia="黑体"/>
          <w:b w:val="0"/>
        </w:rPr>
        <w:t>第一部分 单位</w:t>
      </w:r>
      <w:r>
        <w:rPr>
          <w:rStyle w:val="28"/>
          <w:rFonts w:hint="eastAsia" w:ascii="黑体" w:hAnsi="黑体" w:eastAsia="黑体"/>
          <w:b w:val="0"/>
          <w:bCs w:val="0"/>
        </w:rPr>
        <w:t>概况</w:t>
      </w:r>
      <w:bookmarkEnd w:id="15"/>
      <w:bookmarkEnd w:id="16"/>
    </w:p>
    <w:p>
      <w:pPr>
        <w:widowControl/>
        <w:jc w:val="left"/>
        <w:rPr>
          <w:rFonts w:ascii="黑体" w:eastAsia="黑体"/>
          <w:sz w:val="32"/>
          <w:szCs w:val="32"/>
        </w:rPr>
      </w:pPr>
    </w:p>
    <w:p>
      <w:pPr>
        <w:pStyle w:val="4"/>
        <w:numPr>
          <w:ilvl w:val="0"/>
          <w:numId w:val="1"/>
        </w:numPr>
        <w:rPr>
          <w:rStyle w:val="29"/>
          <w:rFonts w:ascii="黑体" w:hAnsi="黑体" w:eastAsia="黑体"/>
          <w:b w:val="0"/>
          <w:bCs w:val="0"/>
        </w:rPr>
      </w:pPr>
      <w:bookmarkStart w:id="17" w:name="_Toc15377197"/>
      <w:bookmarkStart w:id="18" w:name="_Toc15396600"/>
      <w:r>
        <w:rPr>
          <w:rStyle w:val="29"/>
          <w:rFonts w:hint="eastAsia" w:ascii="黑体" w:hAnsi="黑体" w:eastAsia="黑体"/>
          <w:b w:val="0"/>
          <w:bCs w:val="0"/>
        </w:rPr>
        <w:t>主要职责</w:t>
      </w:r>
    </w:p>
    <w:p>
      <w:pPr>
        <w:spacing w:line="600" w:lineRule="exact"/>
        <w:ind w:firstLine="640" w:firstLineChars="200"/>
        <w:jc w:val="left"/>
        <w:rPr>
          <w:rFonts w:ascii="仿宋_GB2312" w:eastAsia="仿宋_GB2312"/>
          <w:sz w:val="32"/>
          <w:szCs w:val="32"/>
        </w:rPr>
      </w:pPr>
      <w:bookmarkStart w:id="19" w:name="OLE_LINK5"/>
      <w:r>
        <w:rPr>
          <w:rFonts w:hint="eastAsia" w:ascii="仿宋_GB2312" w:eastAsia="仿宋_GB2312"/>
          <w:sz w:val="32"/>
          <w:szCs w:val="32"/>
        </w:rPr>
        <w:t>负责全区机关、后勤，乡镇工作人员出差到乐山办事提供服务，完成区委、区人大、区政府、区政协领导交办的任务，为“四大家”领导到乐山办事提供服务。</w:t>
      </w:r>
    </w:p>
    <w:bookmarkEnd w:id="19"/>
    <w:p/>
    <w:p>
      <w:pPr>
        <w:pStyle w:val="4"/>
        <w:rPr>
          <w:rFonts w:ascii="黑体" w:hAnsi="黑体" w:eastAsia="黑体"/>
          <w:b w:val="0"/>
        </w:rPr>
      </w:pPr>
      <w:r>
        <w:rPr>
          <w:rFonts w:hint="eastAsia" w:ascii="黑体" w:hAnsi="黑体" w:eastAsia="黑体"/>
          <w:b w:val="0"/>
        </w:rPr>
        <w:t>二、机构设置</w:t>
      </w:r>
    </w:p>
    <w:bookmarkEnd w:id="17"/>
    <w:bookmarkEnd w:id="18"/>
    <w:p>
      <w:pPr>
        <w:ind w:firstLine="640" w:firstLineChars="200"/>
        <w:rPr>
          <w:rFonts w:ascii="仿宋" w:hAnsi="仿宋" w:eastAsia="仿宋"/>
          <w:kern w:val="0"/>
          <w:sz w:val="32"/>
          <w:szCs w:val="32"/>
        </w:rPr>
      </w:pPr>
      <w:bookmarkStart w:id="20" w:name="_Toc15377434"/>
      <w:bookmarkStart w:id="21" w:name="_Toc15377203"/>
      <w:bookmarkStart w:id="22" w:name="_Toc15306277"/>
      <w:bookmarkStart w:id="23" w:name="_Toc15378450"/>
      <w:r>
        <w:rPr>
          <w:rFonts w:hint="eastAsia" w:ascii="仿宋_GB2312" w:eastAsia="仿宋_GB2312"/>
          <w:sz w:val="32"/>
          <w:szCs w:val="32"/>
          <w:lang w:eastAsia="zh-CN"/>
        </w:rPr>
        <w:t>区</w:t>
      </w:r>
      <w:r>
        <w:rPr>
          <w:rFonts w:hint="eastAsia" w:ascii="仿宋_GB2312" w:eastAsia="仿宋_GB2312"/>
          <w:sz w:val="32"/>
          <w:szCs w:val="32"/>
        </w:rPr>
        <w:t>驻乐事务服务中心</w:t>
      </w:r>
      <w:bookmarkEnd w:id="20"/>
      <w:bookmarkEnd w:id="21"/>
      <w:bookmarkEnd w:id="22"/>
      <w:bookmarkEnd w:id="23"/>
      <w:bookmarkStart w:id="24" w:name="OLE_LINK2"/>
      <w:r>
        <w:rPr>
          <w:rFonts w:hint="eastAsia" w:ascii="仿宋" w:hAnsi="仿宋" w:eastAsia="仿宋"/>
          <w:sz w:val="32"/>
          <w:szCs w:val="32"/>
          <w:lang w:eastAsia="zh-CN"/>
        </w:rPr>
        <w:t>为公益一类事业单位，无</w:t>
      </w:r>
      <w:r>
        <w:rPr>
          <w:rFonts w:hint="eastAsia" w:ascii="仿宋" w:hAnsi="仿宋" w:eastAsia="仿宋"/>
          <w:sz w:val="32"/>
          <w:szCs w:val="32"/>
        </w:rPr>
        <w:t>下属二级预算</w:t>
      </w:r>
      <w:r>
        <w:rPr>
          <w:rFonts w:hint="eastAsia" w:ascii="仿宋" w:hAnsi="仿宋" w:eastAsia="仿宋"/>
          <w:sz w:val="32"/>
          <w:szCs w:val="32"/>
          <w:lang w:eastAsia="zh-CN"/>
        </w:rPr>
        <w:t>单位</w:t>
      </w:r>
      <w:r>
        <w:rPr>
          <w:rFonts w:hint="eastAsia" w:ascii="仿宋" w:hAnsi="仿宋" w:eastAsia="仿宋"/>
          <w:sz w:val="32"/>
          <w:szCs w:val="32"/>
        </w:rPr>
        <w:t>。</w:t>
      </w:r>
      <w:r>
        <w:rPr>
          <w:rFonts w:hint="eastAsia" w:ascii="仿宋" w:hAnsi="仿宋" w:eastAsia="仿宋"/>
          <w:sz w:val="32"/>
          <w:szCs w:val="32"/>
          <w:lang w:eastAsia="zh-CN"/>
        </w:rPr>
        <w:t>中心非参公事业编制</w:t>
      </w:r>
      <w:r>
        <w:rPr>
          <w:rFonts w:hint="eastAsia" w:ascii="仿宋" w:hAnsi="仿宋" w:eastAsia="仿宋"/>
          <w:sz w:val="32"/>
          <w:szCs w:val="32"/>
          <w:lang w:val="en-US" w:eastAsia="zh-CN"/>
        </w:rPr>
        <w:t>3名，实有在编在岗人员1名。</w:t>
      </w:r>
      <w:bookmarkEnd w:id="24"/>
    </w:p>
    <w:p>
      <w:pPr>
        <w:spacing w:line="600" w:lineRule="exact"/>
        <w:ind w:firstLine="640" w:firstLineChars="200"/>
        <w:jc w:val="left"/>
        <w:rPr>
          <w:rFonts w:hint="eastAsia" w:ascii="仿宋_GB2312" w:eastAsia="仿宋_GB2312"/>
          <w:sz w:val="32"/>
          <w:szCs w:val="32"/>
        </w:rPr>
      </w:pPr>
    </w:p>
    <w:p>
      <w:pPr>
        <w:pStyle w:val="2"/>
        <w:rPr>
          <w:rFonts w:hint="eastAsia" w:ascii="仿宋_GB2312" w:eastAsia="仿宋_GB2312"/>
          <w:sz w:val="32"/>
          <w:szCs w:val="32"/>
        </w:rPr>
      </w:pPr>
    </w:p>
    <w:p>
      <w:pPr>
        <w:rPr>
          <w:rFonts w:hint="eastAsia" w:ascii="仿宋_GB2312" w:eastAsia="仿宋_GB2312"/>
          <w:sz w:val="32"/>
          <w:szCs w:val="32"/>
        </w:rPr>
      </w:pPr>
    </w:p>
    <w:p>
      <w:pPr>
        <w:pStyle w:val="2"/>
        <w:rPr>
          <w:rFonts w:hint="eastAsia" w:ascii="仿宋_GB2312" w:eastAsia="仿宋_GB2312"/>
          <w:sz w:val="32"/>
          <w:szCs w:val="32"/>
        </w:rPr>
      </w:pPr>
    </w:p>
    <w:p>
      <w:pPr>
        <w:rPr>
          <w:rFonts w:hint="eastAsia" w:ascii="仿宋_GB2312" w:eastAsia="仿宋_GB2312"/>
          <w:sz w:val="32"/>
          <w:szCs w:val="32"/>
        </w:rPr>
      </w:pPr>
    </w:p>
    <w:p>
      <w:pPr>
        <w:pStyle w:val="2"/>
        <w:rPr>
          <w:rFonts w:hint="eastAsia" w:ascii="仿宋_GB2312" w:eastAsia="仿宋_GB2312"/>
          <w:sz w:val="32"/>
          <w:szCs w:val="32"/>
        </w:rPr>
      </w:pPr>
    </w:p>
    <w:p>
      <w:pPr>
        <w:rPr>
          <w:rFonts w:hint="eastAsia"/>
        </w:rPr>
      </w:pPr>
    </w:p>
    <w:p>
      <w:pPr>
        <w:pStyle w:val="3"/>
        <w:ind w:right="440"/>
        <w:jc w:val="center"/>
        <w:rPr>
          <w:rStyle w:val="28"/>
          <w:rFonts w:ascii="黑体" w:hAnsi="黑体" w:eastAsia="黑体"/>
          <w:b w:val="0"/>
          <w:bCs/>
        </w:rPr>
      </w:pPr>
      <w:bookmarkStart w:id="25" w:name="_Toc15396602"/>
      <w:bookmarkStart w:id="26" w:name="_Toc15377204"/>
      <w:r>
        <w:rPr>
          <w:rFonts w:hint="eastAsia" w:ascii="黑体" w:hAnsi="黑体" w:eastAsia="黑体"/>
          <w:b w:val="0"/>
        </w:rPr>
        <w:t>第二部分 2023年度</w:t>
      </w:r>
      <w:r>
        <w:rPr>
          <w:rStyle w:val="28"/>
          <w:rFonts w:hint="eastAsia" w:ascii="黑体" w:hAnsi="黑体" w:eastAsia="黑体"/>
          <w:b w:val="0"/>
          <w:bCs/>
        </w:rPr>
        <w:t>单位决算情况说明</w:t>
      </w:r>
      <w:bookmarkEnd w:id="25"/>
      <w:bookmarkEnd w:id="26"/>
    </w:p>
    <w:p/>
    <w:p>
      <w:pPr>
        <w:pStyle w:val="27"/>
        <w:numPr>
          <w:ilvl w:val="0"/>
          <w:numId w:val="2"/>
        </w:numPr>
        <w:spacing w:line="600" w:lineRule="exact"/>
        <w:ind w:firstLineChars="0"/>
        <w:outlineLvl w:val="1"/>
        <w:rPr>
          <w:rStyle w:val="29"/>
          <w:rFonts w:ascii="黑体" w:hAnsi="黑体" w:eastAsia="黑体"/>
          <w:b w:val="0"/>
        </w:rPr>
      </w:pPr>
      <w:bookmarkStart w:id="27" w:name="_Toc15377205"/>
      <w:bookmarkStart w:id="28" w:name="_Toc15396603"/>
      <w:bookmarkStart w:id="29" w:name="OLE_LINK7"/>
      <w:r>
        <w:rPr>
          <w:rFonts w:hint="eastAsia" w:ascii="黑体" w:hAnsi="黑体" w:eastAsia="黑体"/>
          <w:sz w:val="32"/>
          <w:szCs w:val="32"/>
        </w:rPr>
        <w:t>收</w:t>
      </w:r>
      <w:r>
        <w:rPr>
          <w:rStyle w:val="29"/>
          <w:rFonts w:hint="eastAsia" w:ascii="黑体" w:hAnsi="黑体" w:eastAsia="黑体"/>
          <w:b w:val="0"/>
        </w:rPr>
        <w:t>入支出决算总体情况说明</w:t>
      </w:r>
      <w:bookmarkEnd w:id="27"/>
      <w:bookmarkEnd w:id="28"/>
    </w:p>
    <w:p>
      <w:pPr>
        <w:spacing w:line="600" w:lineRule="exact"/>
        <w:ind w:firstLine="640" w:firstLineChars="200"/>
        <w:rPr>
          <w:rFonts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sz w:val="32"/>
          <w:szCs w:val="32"/>
        </w:rPr>
        <w:t>41.5</w:t>
      </w:r>
      <w:r>
        <w:rPr>
          <w:rFonts w:hint="eastAsia" w:ascii="仿宋" w:hAnsi="仿宋" w:eastAsia="仿宋"/>
          <w:sz w:val="32"/>
          <w:szCs w:val="32"/>
        </w:rPr>
        <w:t>万元。与2022年度相比，收、支总计各减少</w:t>
      </w:r>
      <w:r>
        <w:rPr>
          <w:rFonts w:hint="eastAsia" w:ascii="仿宋" w:hAnsi="仿宋" w:eastAsia="仿宋"/>
          <w:sz w:val="32"/>
          <w:szCs w:val="32"/>
          <w:lang w:val="en-US" w:eastAsia="zh-CN"/>
        </w:rPr>
        <w:t>9.93</w:t>
      </w:r>
      <w:r>
        <w:rPr>
          <w:rFonts w:hint="eastAsia" w:ascii="仿宋" w:hAnsi="仿宋" w:eastAsia="仿宋"/>
          <w:sz w:val="32"/>
          <w:szCs w:val="32"/>
        </w:rPr>
        <w:t>万元，下降</w:t>
      </w:r>
      <w:r>
        <w:rPr>
          <w:rFonts w:hint="eastAsia" w:ascii="仿宋" w:hAnsi="仿宋" w:eastAsia="仿宋"/>
          <w:sz w:val="32"/>
          <w:szCs w:val="32"/>
          <w:lang w:val="en-US" w:eastAsia="zh-CN"/>
        </w:rPr>
        <w:t>19.31</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2023年项目支出减少</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spacing w:line="600" w:lineRule="exact"/>
        <w:ind w:firstLine="420" w:firstLineChars="200"/>
        <w:jc w:val="left"/>
        <w:rPr>
          <w:rFonts w:ascii="仿宋_GB2312" w:eastAsia="仿宋_GB2312"/>
          <w:sz w:val="32"/>
          <w:szCs w:val="32"/>
        </w:rPr>
      </w:pPr>
      <w:r>
        <w:rPr>
          <w:rFonts w:hint="eastAsia" w:eastAsia="仿宋_GB2312"/>
        </w:rPr>
        <w:drawing>
          <wp:anchor distT="0" distB="0" distL="114300" distR="114300" simplePos="0" relativeHeight="251659264" behindDoc="1" locked="0" layoutInCell="1" allowOverlap="1">
            <wp:simplePos x="0" y="0"/>
            <wp:positionH relativeFrom="column">
              <wp:posOffset>238125</wp:posOffset>
            </wp:positionH>
            <wp:positionV relativeFrom="paragraph">
              <wp:posOffset>125095</wp:posOffset>
            </wp:positionV>
            <wp:extent cx="4657725" cy="2196465"/>
            <wp:effectExtent l="4445" t="5080" r="5080" b="825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
      <w:pPr>
        <w:pStyle w:val="2"/>
      </w:pPr>
    </w:p>
    <w:p>
      <w:pPr>
        <w:pStyle w:val="27"/>
        <w:numPr>
          <w:ilvl w:val="0"/>
          <w:numId w:val="2"/>
        </w:numPr>
        <w:spacing w:line="600" w:lineRule="exact"/>
        <w:ind w:firstLineChars="0"/>
        <w:outlineLvl w:val="1"/>
        <w:rPr>
          <w:rStyle w:val="29"/>
          <w:rFonts w:ascii="黑体" w:hAnsi="黑体" w:eastAsia="黑体"/>
          <w:b w:val="0"/>
        </w:rPr>
      </w:pPr>
      <w:bookmarkStart w:id="30" w:name="_Toc15377206"/>
      <w:bookmarkStart w:id="31" w:name="_Toc15396604"/>
      <w:r>
        <w:rPr>
          <w:rFonts w:hint="eastAsia" w:ascii="黑体" w:hAnsi="黑体" w:eastAsia="黑体"/>
          <w:sz w:val="32"/>
          <w:szCs w:val="32"/>
        </w:rPr>
        <w:t>收</w:t>
      </w:r>
      <w:r>
        <w:rPr>
          <w:rStyle w:val="29"/>
          <w:rFonts w:hint="eastAsia" w:ascii="黑体" w:hAnsi="黑体" w:eastAsia="黑体"/>
          <w:b w:val="0"/>
        </w:rPr>
        <w:t>入决算情况说明</w:t>
      </w:r>
      <w:bookmarkEnd w:id="30"/>
      <w:bookmarkEnd w:id="31"/>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41.5</w:t>
      </w:r>
      <w:r>
        <w:rPr>
          <w:rFonts w:hint="eastAsia" w:ascii="仿宋" w:hAnsi="仿宋" w:eastAsia="仿宋"/>
          <w:sz w:val="32"/>
          <w:szCs w:val="32"/>
        </w:rPr>
        <w:t>万元，其中：一般公共预算财政拨款收入</w:t>
      </w:r>
      <w:r>
        <w:rPr>
          <w:rFonts w:ascii="仿宋" w:hAnsi="仿宋" w:eastAsia="仿宋"/>
          <w:b/>
          <w:sz w:val="32"/>
          <w:szCs w:val="32"/>
        </w:rPr>
        <w:t>41.49</w:t>
      </w:r>
      <w:r>
        <w:rPr>
          <w:rFonts w:hint="eastAsia" w:ascii="仿宋" w:hAnsi="仿宋" w:eastAsia="仿宋"/>
          <w:sz w:val="32"/>
          <w:szCs w:val="32"/>
        </w:rPr>
        <w:t>万元，占</w:t>
      </w:r>
      <w:r>
        <w:rPr>
          <w:rFonts w:ascii="仿宋" w:hAnsi="仿宋" w:eastAsia="仿宋"/>
          <w:b/>
          <w:sz w:val="32"/>
          <w:szCs w:val="32"/>
        </w:rPr>
        <w:t>99.97%</w:t>
      </w:r>
      <w:r>
        <w:rPr>
          <w:rFonts w:hint="eastAsia" w:ascii="仿宋" w:hAnsi="仿宋" w:eastAsia="仿宋"/>
          <w:sz w:val="32"/>
          <w:szCs w:val="32"/>
        </w:rPr>
        <w:t>；政府性基金预算财政拨款收入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0.01</w:t>
      </w:r>
      <w:r>
        <w:rPr>
          <w:rFonts w:hint="eastAsia" w:ascii="仿宋" w:hAnsi="仿宋" w:eastAsia="仿宋"/>
          <w:sz w:val="32"/>
          <w:szCs w:val="32"/>
        </w:rPr>
        <w:t>万元，占</w:t>
      </w:r>
      <w:r>
        <w:rPr>
          <w:rFonts w:ascii="仿宋" w:hAnsi="仿宋" w:eastAsia="仿宋"/>
          <w:b/>
          <w:sz w:val="32"/>
          <w:szCs w:val="32"/>
        </w:rPr>
        <w:t>0.02</w:t>
      </w:r>
      <w:r>
        <w:rPr>
          <w:rFonts w:ascii="仿宋" w:hAnsi="仿宋" w:eastAsia="仿宋"/>
          <w:sz w:val="32"/>
          <w:szCs w:val="32"/>
        </w:rPr>
        <w:t>%</w:t>
      </w:r>
    </w:p>
    <w:p>
      <w:pPr>
        <w:spacing w:line="600" w:lineRule="exact"/>
        <w:ind w:firstLine="643" w:firstLineChars="200"/>
        <w:outlineLvl w:val="1"/>
        <w:rPr>
          <w:rFonts w:ascii="仿宋" w:hAnsi="仿宋" w:eastAsia="仿宋"/>
          <w:sz w:val="32"/>
          <w:szCs w:val="32"/>
        </w:rPr>
      </w:pPr>
      <w:r>
        <w:rPr>
          <w:rFonts w:hint="eastAsia" w:ascii="仿宋" w:hAnsi="仿宋" w:eastAsia="仿宋"/>
          <w:b/>
          <w:sz w:val="32"/>
          <w:szCs w:val="32"/>
        </w:rPr>
        <w:t>（注：数据来源于财决</w:t>
      </w:r>
      <w:r>
        <w:rPr>
          <w:rFonts w:ascii="仿宋" w:hAnsi="仿宋" w:eastAsia="仿宋"/>
          <w:b/>
          <w:sz w:val="32"/>
          <w:szCs w:val="32"/>
        </w:rPr>
        <w:t>01表</w:t>
      </w:r>
      <w:r>
        <w:rPr>
          <w:rFonts w:hint="eastAsia" w:ascii="仿宋" w:hAnsi="仿宋" w:eastAsia="仿宋"/>
          <w:b/>
          <w:sz w:val="32"/>
          <w:szCs w:val="32"/>
        </w:rPr>
        <w:t>，仅罗列本单位涉及的收入。</w:t>
      </w:r>
      <w:r>
        <w:rPr>
          <w:rFonts w:ascii="仿宋" w:hAnsi="仿宋" w:eastAsia="仿宋"/>
          <w:b/>
          <w:sz w:val="32"/>
          <w:szCs w:val="32"/>
        </w:rPr>
        <w:t>）</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（图2：收入决算结构图）（饼状图）</w:t>
      </w:r>
    </w:p>
    <w:p>
      <w:r>
        <w:rPr>
          <w:rFonts w:hint="eastAsia"/>
        </w:rPr>
        <w:drawing>
          <wp:inline distT="0" distB="0" distL="114300" distR="114300">
            <wp:extent cx="5080000" cy="2300605"/>
            <wp:effectExtent l="4445" t="4445" r="20955" b="190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7"/>
        <w:numPr>
          <w:ilvl w:val="0"/>
          <w:numId w:val="2"/>
        </w:numPr>
        <w:spacing w:line="600" w:lineRule="exact"/>
        <w:ind w:firstLineChars="0"/>
        <w:outlineLvl w:val="1"/>
        <w:rPr>
          <w:rStyle w:val="29"/>
          <w:rFonts w:ascii="黑体" w:hAnsi="黑体" w:eastAsia="黑体"/>
          <w:b w:val="0"/>
        </w:rPr>
      </w:pPr>
      <w:bookmarkStart w:id="32" w:name="_Toc15377207"/>
      <w:bookmarkStart w:id="33" w:name="_Toc15396605"/>
      <w:r>
        <w:rPr>
          <w:rFonts w:hint="eastAsia" w:ascii="黑体" w:hAnsi="黑体" w:eastAsia="黑体"/>
          <w:sz w:val="32"/>
          <w:szCs w:val="32"/>
        </w:rPr>
        <w:t>支</w:t>
      </w:r>
      <w:r>
        <w:rPr>
          <w:rStyle w:val="29"/>
          <w:rFonts w:hint="eastAsia" w:ascii="黑体" w:hAnsi="黑体" w:eastAsia="黑体"/>
          <w:b w:val="0"/>
        </w:rPr>
        <w:t>出决算情况说明</w:t>
      </w:r>
      <w:bookmarkEnd w:id="32"/>
      <w:bookmarkEnd w:id="33"/>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41.5</w:t>
      </w:r>
      <w:r>
        <w:rPr>
          <w:rFonts w:hint="eastAsia" w:ascii="仿宋" w:hAnsi="仿宋" w:eastAsia="仿宋"/>
          <w:sz w:val="32"/>
          <w:szCs w:val="32"/>
        </w:rPr>
        <w:t>万元，其中：基本支出</w:t>
      </w:r>
      <w:r>
        <w:rPr>
          <w:rFonts w:ascii="仿宋" w:hAnsi="仿宋" w:eastAsia="仿宋"/>
          <w:b/>
          <w:sz w:val="32"/>
          <w:szCs w:val="32"/>
        </w:rPr>
        <w:t>20.54</w:t>
      </w:r>
      <w:r>
        <w:rPr>
          <w:rFonts w:hint="eastAsia" w:ascii="仿宋" w:hAnsi="仿宋" w:eastAsia="仿宋"/>
          <w:sz w:val="32"/>
          <w:szCs w:val="32"/>
        </w:rPr>
        <w:t>万元，占</w:t>
      </w:r>
      <w:r>
        <w:rPr>
          <w:rFonts w:ascii="仿宋" w:hAnsi="仿宋" w:eastAsia="仿宋"/>
          <w:b/>
          <w:sz w:val="32"/>
          <w:szCs w:val="32"/>
        </w:rPr>
        <w:t>49.48</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20.96</w:t>
      </w:r>
      <w:r>
        <w:rPr>
          <w:rFonts w:hint="eastAsia" w:ascii="仿宋" w:hAnsi="仿宋" w:eastAsia="仿宋"/>
          <w:sz w:val="32"/>
          <w:szCs w:val="32"/>
        </w:rPr>
        <w:t>万元，占</w:t>
      </w:r>
      <w:r>
        <w:rPr>
          <w:rFonts w:ascii="仿宋" w:hAnsi="仿宋" w:eastAsia="仿宋"/>
          <w:b/>
          <w:sz w:val="32"/>
          <w:szCs w:val="32"/>
        </w:rPr>
        <w:t>50.51</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3" w:firstLineChars="200"/>
        <w:outlineLvl w:val="1"/>
        <w:rPr>
          <w:rFonts w:ascii="仿宋" w:hAnsi="仿宋" w:eastAsia="仿宋"/>
          <w:sz w:val="32"/>
          <w:szCs w:val="32"/>
          <w:shd w:val="pct10" w:color="auto" w:fill="FFFFFF"/>
        </w:rPr>
      </w:pPr>
      <w:r>
        <w:rPr>
          <w:rFonts w:hint="eastAsia" w:ascii="仿宋" w:hAnsi="仿宋" w:eastAsia="仿宋"/>
          <w:b/>
          <w:sz w:val="32"/>
          <w:szCs w:val="32"/>
        </w:rPr>
        <w:t>（注：数据来源于财决</w:t>
      </w:r>
      <w:r>
        <w:rPr>
          <w:rFonts w:ascii="仿宋" w:hAnsi="仿宋" w:eastAsia="仿宋"/>
          <w:b/>
          <w:sz w:val="32"/>
          <w:szCs w:val="32"/>
        </w:rPr>
        <w:t>04</w:t>
      </w:r>
      <w:r>
        <w:rPr>
          <w:rFonts w:hint="eastAsia" w:ascii="仿宋" w:hAnsi="仿宋" w:eastAsia="仿宋"/>
          <w:b/>
          <w:sz w:val="32"/>
          <w:szCs w:val="32"/>
        </w:rPr>
        <w:t>表，仅罗列本单位涉及的支出。）</w:t>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（图3：支出决算结构图）（饼状图）</w:t>
      </w:r>
    </w:p>
    <w:p>
      <w:pPr>
        <w:pStyle w:val="2"/>
      </w:pPr>
      <w:r>
        <w:rPr>
          <w:rFonts w:hint="eastAsia" w:ascii="仿宋" w:hAnsi="仿宋" w:eastAsia="仿宋"/>
          <w:sz w:val="32"/>
          <w:szCs w:val="32"/>
        </w:rPr>
        <w:drawing>
          <wp:inline distT="0" distB="0" distL="114300" distR="114300">
            <wp:extent cx="4984750" cy="2055495"/>
            <wp:effectExtent l="4445" t="4445" r="20955" b="1651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outlineLvl w:val="1"/>
        <w:rPr>
          <w:rStyle w:val="29"/>
          <w:rFonts w:ascii="黑体" w:hAnsi="黑体" w:eastAsia="黑体"/>
          <w:b w:val="0"/>
        </w:rPr>
      </w:pPr>
      <w:bookmarkStart w:id="34" w:name="_Toc15396606"/>
      <w:bookmarkStart w:id="35"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34"/>
      <w:bookmarkEnd w:id="35"/>
    </w:p>
    <w:p>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rFonts w:ascii="仿宋" w:hAnsi="仿宋" w:eastAsia="仿宋"/>
          <w:b/>
          <w:sz w:val="32"/>
          <w:szCs w:val="32"/>
        </w:rPr>
        <w:t>41.49</w:t>
      </w:r>
      <w:r>
        <w:rPr>
          <w:rFonts w:hint="eastAsia" w:ascii="仿宋" w:hAnsi="仿宋" w:eastAsia="仿宋"/>
          <w:sz w:val="32"/>
          <w:szCs w:val="32"/>
        </w:rPr>
        <w:t>万元。与2022年度相比，财政拨款收、支总计各减少</w:t>
      </w:r>
      <w:r>
        <w:rPr>
          <w:rFonts w:hint="eastAsia" w:ascii="仿宋" w:hAnsi="仿宋" w:eastAsia="仿宋"/>
          <w:sz w:val="32"/>
          <w:szCs w:val="32"/>
          <w:lang w:val="en-US" w:eastAsia="zh-CN"/>
        </w:rPr>
        <w:t>9.94</w:t>
      </w:r>
      <w:r>
        <w:rPr>
          <w:rFonts w:hint="eastAsia" w:ascii="仿宋" w:hAnsi="仿宋" w:eastAsia="仿宋"/>
          <w:sz w:val="32"/>
          <w:szCs w:val="32"/>
        </w:rPr>
        <w:t>万元，下降</w:t>
      </w:r>
      <w:r>
        <w:rPr>
          <w:rFonts w:hint="eastAsia" w:ascii="仿宋" w:hAnsi="仿宋" w:eastAsia="仿宋"/>
          <w:sz w:val="32"/>
          <w:szCs w:val="32"/>
          <w:lang w:val="en-US" w:eastAsia="zh-CN"/>
        </w:rPr>
        <w:t>19.33</w:t>
      </w:r>
      <w:r>
        <w:rPr>
          <w:rFonts w:ascii="仿宋" w:hAnsi="仿宋" w:eastAsia="仿宋"/>
          <w:sz w:val="32"/>
          <w:szCs w:val="32"/>
        </w:rPr>
        <w:t>%</w:t>
      </w:r>
      <w:r>
        <w:rPr>
          <w:rFonts w:hint="eastAsia" w:ascii="仿宋" w:hAnsi="仿宋" w:eastAsia="仿宋"/>
          <w:sz w:val="32"/>
          <w:szCs w:val="32"/>
        </w:rPr>
        <w:t>。主要变动原因是</w:t>
      </w:r>
      <w:bookmarkStart w:id="36" w:name="OLE_LINK1"/>
      <w:r>
        <w:rPr>
          <w:rFonts w:hint="eastAsia" w:ascii="仿宋" w:hAnsi="仿宋" w:eastAsia="仿宋"/>
          <w:sz w:val="32"/>
          <w:szCs w:val="32"/>
          <w:lang w:val="en-US" w:eastAsia="zh-CN"/>
        </w:rPr>
        <w:t>2023年项目支出减少</w:t>
      </w:r>
      <w:bookmarkEnd w:id="36"/>
      <w:r>
        <w:rPr>
          <w:rFonts w:hint="eastAsia" w:ascii="仿宋" w:hAnsi="仿宋" w:eastAsia="仿宋"/>
          <w:sz w:val="32"/>
          <w:szCs w:val="32"/>
          <w:lang w:val="en-US" w:eastAsia="zh-CN"/>
        </w:rPr>
        <w:t>。</w:t>
      </w:r>
      <w:r>
        <w:rPr>
          <w:rFonts w:hint="eastAsia" w:ascii="仿宋" w:hAnsi="仿宋" w:eastAsia="仿宋"/>
          <w:b/>
          <w:sz w:val="32"/>
          <w:szCs w:val="32"/>
        </w:rPr>
        <w:t>（注：数据来源于财决</w:t>
      </w:r>
      <w:r>
        <w:rPr>
          <w:rFonts w:ascii="仿宋" w:hAnsi="仿宋" w:eastAsia="仿宋"/>
          <w:b/>
          <w:sz w:val="32"/>
          <w:szCs w:val="32"/>
        </w:rPr>
        <w:t>01-1</w:t>
      </w:r>
      <w:r>
        <w:rPr>
          <w:rFonts w:hint="eastAsia" w:ascii="仿宋" w:hAnsi="仿宋" w:eastAsia="仿宋"/>
          <w:b/>
          <w:sz w:val="32"/>
          <w:szCs w:val="32"/>
        </w:rPr>
        <w:t>表</w:t>
      </w:r>
      <w:r>
        <w:rPr>
          <w:rFonts w:ascii="仿宋" w:hAnsi="仿宋" w:eastAsia="仿宋"/>
          <w:b/>
          <w:sz w:val="32"/>
          <w:szCs w:val="32"/>
        </w:rPr>
        <w:t>）</w:t>
      </w:r>
    </w:p>
    <w:p>
      <w:pPr>
        <w:spacing w:line="600" w:lineRule="exact"/>
        <w:ind w:firstLine="640" w:firstLineChars="200"/>
        <w:rPr>
          <w:rFonts w:ascii="仿宋" w:hAnsi="仿宋" w:eastAsia="仿宋"/>
          <w:b/>
          <w:sz w:val="32"/>
          <w:szCs w:val="32"/>
        </w:rPr>
      </w:pPr>
      <w:r>
        <w:rPr>
          <w:rFonts w:hint="eastAsia" w:ascii="仿宋" w:hAnsi="仿宋" w:eastAsia="仿宋"/>
          <w:sz w:val="32"/>
          <w:szCs w:val="32"/>
        </w:rPr>
        <w:t>（图4：财政拨款收、支决算总计变动情况）（柱状图）</w:t>
      </w:r>
    </w:p>
    <w:p>
      <w:pPr>
        <w:rPr>
          <w:rFonts w:ascii="仿宋" w:hAnsi="仿宋" w:eastAsia="仿宋"/>
          <w:b/>
          <w:sz w:val="32"/>
          <w:szCs w:val="32"/>
        </w:rPr>
      </w:pPr>
      <w:r>
        <w:rPr>
          <w:rFonts w:hint="eastAsia"/>
        </w:rPr>
        <w:drawing>
          <wp:inline distT="0" distB="0" distL="114300" distR="114300">
            <wp:extent cx="4657725" cy="1805305"/>
            <wp:effectExtent l="4445" t="5080" r="5080" b="1841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
      <w:pPr>
        <w:spacing w:line="600" w:lineRule="exact"/>
        <w:ind w:firstLine="640" w:firstLineChars="200"/>
        <w:outlineLvl w:val="1"/>
        <w:rPr>
          <w:rStyle w:val="29"/>
          <w:rFonts w:ascii="黑体" w:hAnsi="黑体" w:eastAsia="黑体"/>
          <w:b w:val="0"/>
        </w:rPr>
      </w:pPr>
      <w:bookmarkStart w:id="37" w:name="_Toc15377209"/>
      <w:bookmarkStart w:id="38"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7"/>
      <w:bookmarkEnd w:id="38"/>
    </w:p>
    <w:p>
      <w:pPr>
        <w:spacing w:line="600" w:lineRule="exact"/>
        <w:ind w:firstLine="643" w:firstLineChars="200"/>
        <w:outlineLvl w:val="2"/>
        <w:rPr>
          <w:rFonts w:ascii="仿宋" w:hAnsi="仿宋" w:eastAsia="仿宋"/>
          <w:b/>
          <w:sz w:val="32"/>
          <w:szCs w:val="32"/>
        </w:rPr>
      </w:pPr>
      <w:bookmarkStart w:id="39" w:name="_Toc15377210"/>
      <w:r>
        <w:rPr>
          <w:rFonts w:hint="eastAsia" w:ascii="仿宋" w:hAnsi="仿宋" w:eastAsia="仿宋"/>
          <w:b/>
          <w:sz w:val="32"/>
          <w:szCs w:val="32"/>
        </w:rPr>
        <w:t>（一）一般公共预算财政拨款支出决算总体情况</w:t>
      </w:r>
      <w:bookmarkEnd w:id="39"/>
    </w:p>
    <w:p>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41.49</w:t>
      </w:r>
      <w:r>
        <w:rPr>
          <w:rFonts w:hint="eastAsia" w:ascii="仿宋" w:hAnsi="仿宋" w:eastAsia="仿宋"/>
          <w:sz w:val="32"/>
          <w:szCs w:val="32"/>
        </w:rPr>
        <w:t>万元，占本年支出合计的</w:t>
      </w:r>
      <w:r>
        <w:rPr>
          <w:rFonts w:ascii="仿宋" w:hAnsi="仿宋" w:eastAsia="仿宋"/>
          <w:b/>
          <w:sz w:val="32"/>
          <w:szCs w:val="32"/>
        </w:rPr>
        <w:t>99.97</w:t>
      </w:r>
      <w:r>
        <w:rPr>
          <w:rFonts w:ascii="仿宋" w:hAnsi="仿宋" w:eastAsia="仿宋"/>
          <w:sz w:val="32"/>
          <w:szCs w:val="32"/>
        </w:rPr>
        <w:t>%</w:t>
      </w:r>
      <w:r>
        <w:rPr>
          <w:rFonts w:hint="eastAsia" w:ascii="仿宋" w:hAnsi="仿宋" w:eastAsia="仿宋"/>
          <w:sz w:val="32"/>
          <w:szCs w:val="32"/>
        </w:rPr>
        <w:t>。与2022年度相比，一般公共预算财政拨款支出减少</w:t>
      </w:r>
      <w:r>
        <w:rPr>
          <w:rFonts w:hint="eastAsia" w:ascii="仿宋" w:hAnsi="仿宋" w:eastAsia="仿宋"/>
          <w:sz w:val="32"/>
          <w:szCs w:val="32"/>
          <w:lang w:val="en-US" w:eastAsia="zh-CN"/>
        </w:rPr>
        <w:t>9.94</w:t>
      </w:r>
      <w:r>
        <w:rPr>
          <w:rFonts w:hint="eastAsia" w:ascii="仿宋" w:hAnsi="仿宋" w:eastAsia="仿宋"/>
          <w:sz w:val="32"/>
          <w:szCs w:val="32"/>
        </w:rPr>
        <w:t>万元，下降</w:t>
      </w:r>
      <w:r>
        <w:rPr>
          <w:rFonts w:hint="eastAsia" w:ascii="仿宋" w:hAnsi="仿宋" w:eastAsia="仿宋"/>
          <w:sz w:val="32"/>
          <w:szCs w:val="32"/>
          <w:lang w:val="en-US" w:eastAsia="zh-CN"/>
        </w:rPr>
        <w:t>19.33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2023年项目支出减少。</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（图5：一般公共预算财政拨款支出决算变动情况）（柱状图）</w:t>
      </w:r>
    </w:p>
    <w:p>
      <w:pPr>
        <w:pStyle w:val="2"/>
        <w:rPr>
          <w:rFonts w:ascii="仿宋" w:hAnsi="仿宋" w:eastAsia="仿宋"/>
          <w:sz w:val="32"/>
          <w:szCs w:val="32"/>
        </w:rPr>
      </w:pPr>
      <w:r>
        <w:rPr>
          <w:rFonts w:hint="eastAsia"/>
        </w:rPr>
        <w:drawing>
          <wp:inline distT="0" distB="0" distL="114300" distR="114300">
            <wp:extent cx="4657725" cy="1517650"/>
            <wp:effectExtent l="4445" t="5080" r="5080" b="2032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3" w:firstLineChars="200"/>
        <w:outlineLvl w:val="2"/>
        <w:rPr>
          <w:rFonts w:ascii="仿宋" w:hAnsi="仿宋" w:eastAsia="仿宋"/>
          <w:b/>
          <w:sz w:val="32"/>
          <w:szCs w:val="32"/>
        </w:rPr>
      </w:pPr>
      <w:bookmarkStart w:id="40" w:name="_Toc15377211"/>
      <w:r>
        <w:rPr>
          <w:rFonts w:hint="eastAsia" w:ascii="仿宋" w:hAnsi="仿宋" w:eastAsia="仿宋"/>
          <w:b/>
          <w:sz w:val="32"/>
          <w:szCs w:val="32"/>
        </w:rPr>
        <w:t>（二）一般公共预算财政拨款支出决算结构情况</w:t>
      </w:r>
      <w:bookmarkEnd w:id="40"/>
    </w:p>
    <w:p>
      <w:pPr>
        <w:spacing w:line="600" w:lineRule="exact"/>
        <w:ind w:firstLine="640"/>
        <w:rPr>
          <w:rFonts w:ascii="仿宋" w:hAnsi="仿宋" w:eastAsia="仿宋"/>
          <w:b/>
          <w:sz w:val="32"/>
          <w:szCs w:val="32"/>
        </w:rPr>
      </w:pPr>
      <w:bookmarkStart w:id="41" w:name="OLE_LINK17"/>
      <w:r>
        <w:rPr>
          <w:rFonts w:hint="eastAsia" w:ascii="仿宋" w:hAnsi="仿宋" w:eastAsia="仿宋"/>
          <w:sz w:val="32"/>
          <w:szCs w:val="32"/>
        </w:rPr>
        <w:t>2023年度一般公共预算财政拨款支出</w:t>
      </w:r>
      <w:r>
        <w:rPr>
          <w:rFonts w:ascii="仿宋" w:hAnsi="仿宋" w:eastAsia="仿宋"/>
          <w:b/>
          <w:sz w:val="32"/>
          <w:szCs w:val="32"/>
        </w:rPr>
        <w:t>41.49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w:t>
      </w:r>
      <w:r>
        <w:rPr>
          <w:rFonts w:hint="eastAsia" w:ascii="仿宋" w:hAnsi="仿宋" w:eastAsia="仿宋"/>
          <w:b/>
          <w:bCs/>
          <w:sz w:val="32"/>
          <w:szCs w:val="32"/>
        </w:rPr>
        <w:t>支出</w:t>
      </w:r>
      <w:r>
        <w:rPr>
          <w:rFonts w:hint="eastAsia" w:ascii="仿宋" w:hAnsi="仿宋" w:eastAsia="仿宋"/>
          <w:sz w:val="32"/>
          <w:szCs w:val="32"/>
          <w:lang w:val="en-US" w:eastAsia="zh-CN"/>
        </w:rPr>
        <w:t>33.63</w:t>
      </w:r>
      <w:r>
        <w:rPr>
          <w:rFonts w:hint="eastAsia" w:ascii="仿宋" w:hAnsi="仿宋" w:eastAsia="仿宋"/>
          <w:sz w:val="32"/>
          <w:szCs w:val="32"/>
        </w:rPr>
        <w:t>万元，占</w:t>
      </w:r>
      <w:r>
        <w:rPr>
          <w:rFonts w:hint="eastAsia" w:ascii="仿宋" w:hAnsi="仿宋" w:eastAsia="仿宋"/>
          <w:sz w:val="32"/>
          <w:szCs w:val="32"/>
          <w:lang w:val="en-US" w:eastAsia="zh-CN"/>
        </w:rPr>
        <w:t>81.06</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5.76</w:t>
      </w:r>
      <w:r>
        <w:rPr>
          <w:rFonts w:hint="eastAsia" w:ascii="仿宋" w:hAnsi="仿宋" w:eastAsia="仿宋"/>
          <w:sz w:val="32"/>
          <w:szCs w:val="32"/>
        </w:rPr>
        <w:t>万元，占</w:t>
      </w:r>
      <w:r>
        <w:rPr>
          <w:rFonts w:hint="eastAsia" w:ascii="仿宋" w:hAnsi="仿宋" w:eastAsia="仿宋"/>
          <w:sz w:val="32"/>
          <w:szCs w:val="32"/>
          <w:lang w:val="en-US" w:eastAsia="zh-CN"/>
        </w:rPr>
        <w:t>13.88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0.63</w:t>
      </w:r>
      <w:r>
        <w:rPr>
          <w:rFonts w:hint="eastAsia" w:ascii="仿宋" w:hAnsi="仿宋" w:eastAsia="仿宋"/>
          <w:sz w:val="32"/>
          <w:szCs w:val="32"/>
        </w:rPr>
        <w:t>万元，占</w:t>
      </w:r>
      <w:r>
        <w:rPr>
          <w:rFonts w:hint="eastAsia" w:ascii="仿宋" w:hAnsi="仿宋" w:eastAsia="仿宋"/>
          <w:sz w:val="32"/>
          <w:szCs w:val="32"/>
          <w:lang w:val="en-US" w:eastAsia="zh-CN"/>
        </w:rPr>
        <w:t>1.52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1.47</w:t>
      </w:r>
      <w:r>
        <w:rPr>
          <w:rFonts w:hint="eastAsia" w:ascii="仿宋" w:hAnsi="仿宋" w:eastAsia="仿宋"/>
          <w:sz w:val="32"/>
          <w:szCs w:val="32"/>
        </w:rPr>
        <w:t>万元，占</w:t>
      </w:r>
      <w:r>
        <w:rPr>
          <w:rFonts w:hint="eastAsia" w:ascii="仿宋" w:hAnsi="仿宋" w:eastAsia="仿宋"/>
          <w:sz w:val="32"/>
          <w:szCs w:val="32"/>
          <w:lang w:val="en-US" w:eastAsia="zh-CN"/>
        </w:rPr>
        <w:t>3.54</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 w:hAnsi="仿宋" w:eastAsia="仿宋"/>
          <w:sz w:val="32"/>
          <w:szCs w:val="32"/>
        </w:rPr>
      </w:pPr>
      <w:r>
        <w:rPr>
          <w:rFonts w:hint="eastAsia" w:ascii="仿宋" w:hAnsi="仿宋" w:eastAsia="仿宋"/>
          <w:b/>
          <w:sz w:val="32"/>
          <w:szCs w:val="32"/>
        </w:rPr>
        <w:t>（注：数据来源于财决01-1表，仅罗列本单位涉及的全部功能分类科目，至类级。）</w:t>
      </w:r>
    </w:p>
    <w:bookmarkEnd w:id="41"/>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r>
        <w:rPr>
          <w:rFonts w:hint="eastAsia" w:ascii="仿宋" w:hAnsi="仿宋" w:eastAsia="仿宋"/>
          <w:sz w:val="32"/>
          <w:szCs w:val="32"/>
          <w:lang w:eastAsia="zh-CN"/>
        </w:rPr>
        <w:drawing>
          <wp:inline distT="0" distB="0" distL="114300" distR="114300">
            <wp:extent cx="5022215" cy="2172335"/>
            <wp:effectExtent l="5080" t="4445" r="20955" b="1397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3" w:firstLineChars="200"/>
        <w:outlineLvl w:val="2"/>
        <w:rPr>
          <w:rFonts w:ascii="仿宋" w:hAnsi="仿宋" w:eastAsia="仿宋"/>
          <w:b/>
          <w:sz w:val="32"/>
          <w:szCs w:val="32"/>
        </w:rPr>
      </w:pPr>
      <w:bookmarkStart w:id="42" w:name="_Toc15377212"/>
      <w:r>
        <w:rPr>
          <w:rFonts w:hint="eastAsia" w:ascii="仿宋" w:hAnsi="仿宋" w:eastAsia="仿宋"/>
          <w:b/>
          <w:sz w:val="32"/>
          <w:szCs w:val="32"/>
        </w:rPr>
        <w:t>（三）一般公共预算财政拨款支出决算具体情况</w:t>
      </w:r>
      <w:bookmarkEnd w:id="42"/>
    </w:p>
    <w:p>
      <w:pPr>
        <w:spacing w:line="600" w:lineRule="exact"/>
        <w:ind w:firstLine="643" w:firstLineChars="200"/>
        <w:outlineLvl w:val="2"/>
        <w:rPr>
          <w:rFonts w:ascii="仿宋" w:hAnsi="仿宋" w:eastAsia="仿宋"/>
          <w:sz w:val="32"/>
          <w:szCs w:val="32"/>
        </w:rPr>
      </w:pPr>
      <w:bookmarkStart w:id="43" w:name="_Toc15378460"/>
      <w:bookmarkStart w:id="44" w:name="_Toc15377213"/>
      <w:bookmarkStart w:id="45" w:name="_Toc15377444"/>
      <w:r>
        <w:rPr>
          <w:rFonts w:hint="eastAsia" w:ascii="仿宋" w:hAnsi="仿宋" w:eastAsia="仿宋"/>
          <w:b/>
          <w:sz w:val="32"/>
          <w:szCs w:val="32"/>
        </w:rPr>
        <w:t>2023年度一般公共预算支出决算数为</w:t>
      </w:r>
      <w:r>
        <w:rPr>
          <w:rFonts w:ascii="仿宋" w:hAnsi="仿宋" w:eastAsia="仿宋"/>
          <w:b/>
          <w:sz w:val="32"/>
          <w:szCs w:val="32"/>
        </w:rPr>
        <w:t>41.49</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bookmarkEnd w:id="43"/>
      <w:bookmarkEnd w:id="44"/>
      <w:bookmarkEnd w:id="45"/>
    </w:p>
    <w:p>
      <w:pPr>
        <w:spacing w:line="600" w:lineRule="exact"/>
        <w:ind w:firstLine="643" w:firstLineChars="200"/>
        <w:rPr>
          <w:rFonts w:ascii="仿宋" w:hAnsi="仿宋" w:eastAsia="仿宋"/>
          <w:b/>
          <w:sz w:val="32"/>
          <w:szCs w:val="32"/>
        </w:rPr>
      </w:pPr>
      <w:bookmarkStart w:id="46" w:name="OLE_LINK18"/>
      <w:r>
        <w:rPr>
          <w:rStyle w:val="17"/>
          <w:rFonts w:ascii="仿宋" w:hAnsi="仿宋" w:eastAsia="仿宋"/>
          <w:bCs/>
          <w:sz w:val="32"/>
          <w:szCs w:val="32"/>
        </w:rPr>
        <w:t>1.</w:t>
      </w:r>
      <w:r>
        <w:rPr>
          <w:rStyle w:val="17"/>
          <w:rFonts w:hint="eastAsia" w:ascii="仿宋" w:hAnsi="仿宋" w:eastAsia="仿宋"/>
          <w:bCs/>
          <w:color w:val="000000"/>
          <w:sz w:val="32"/>
          <w:szCs w:val="32"/>
        </w:rPr>
        <w:t>一般公共服务（</w:t>
      </w:r>
      <w:bookmarkStart w:id="47" w:name="OLE_LINK16"/>
      <w:r>
        <w:rPr>
          <w:rStyle w:val="17"/>
          <w:rFonts w:hint="eastAsia" w:ascii="仿宋" w:hAnsi="仿宋" w:eastAsia="仿宋"/>
          <w:bCs/>
          <w:color w:val="000000"/>
          <w:sz w:val="32"/>
          <w:szCs w:val="32"/>
          <w:lang w:eastAsia="zh-CN"/>
        </w:rPr>
        <w:t>类</w:t>
      </w:r>
      <w:bookmarkEnd w:id="47"/>
      <w:r>
        <w:rPr>
          <w:rStyle w:val="17"/>
          <w:rFonts w:hint="eastAsia" w:ascii="仿宋" w:hAnsi="仿宋" w:eastAsia="仿宋"/>
          <w:bCs/>
          <w:color w:val="000000"/>
          <w:sz w:val="32"/>
          <w:szCs w:val="32"/>
        </w:rPr>
        <w:t>）政府办公厅（室）及相关机构事务（</w:t>
      </w:r>
      <w:r>
        <w:rPr>
          <w:rStyle w:val="17"/>
          <w:rFonts w:hint="eastAsia" w:ascii="仿宋" w:hAnsi="仿宋" w:eastAsia="仿宋"/>
          <w:bCs/>
          <w:color w:val="000000"/>
          <w:sz w:val="32"/>
          <w:szCs w:val="32"/>
          <w:lang w:eastAsia="zh-CN"/>
        </w:rPr>
        <w:t>款</w:t>
      </w:r>
      <w:r>
        <w:rPr>
          <w:rStyle w:val="17"/>
          <w:rFonts w:hint="eastAsia" w:ascii="仿宋" w:hAnsi="仿宋" w:eastAsia="仿宋"/>
          <w:bCs/>
          <w:color w:val="000000"/>
          <w:sz w:val="32"/>
          <w:szCs w:val="32"/>
        </w:rPr>
        <w:t>）机关服务（</w:t>
      </w:r>
      <w:r>
        <w:rPr>
          <w:rStyle w:val="17"/>
          <w:rFonts w:hint="eastAsia" w:ascii="仿宋" w:hAnsi="仿宋" w:eastAsia="仿宋"/>
          <w:bCs/>
          <w:color w:val="000000"/>
          <w:sz w:val="32"/>
          <w:szCs w:val="32"/>
          <w:lang w:eastAsia="zh-CN"/>
        </w:rPr>
        <w:t>项</w:t>
      </w:r>
      <w:r>
        <w:rPr>
          <w:rStyle w:val="17"/>
          <w:rFonts w:hint="eastAsia" w:ascii="仿宋" w:hAnsi="仿宋" w:eastAsia="仿宋"/>
          <w:bCs/>
          <w:color w:val="000000"/>
          <w:sz w:val="32"/>
          <w:szCs w:val="32"/>
        </w:rPr>
        <w:t>）</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33.63</w:t>
      </w:r>
      <w:r>
        <w:rPr>
          <w:rStyle w:val="17"/>
          <w:rFonts w:hint="eastAsia" w:ascii="仿宋" w:hAnsi="仿宋" w:eastAsia="仿宋"/>
          <w:b w:val="0"/>
          <w:bCs/>
          <w:sz w:val="32"/>
          <w:szCs w:val="32"/>
        </w:rPr>
        <w:t>万元，完成预算100</w:t>
      </w:r>
      <w:r>
        <w:rPr>
          <w:rStyle w:val="17"/>
          <w:rFonts w:ascii="仿宋" w:hAnsi="仿宋" w:eastAsia="仿宋"/>
          <w:b w:val="0"/>
          <w:bCs/>
          <w:sz w:val="32"/>
          <w:szCs w:val="32"/>
        </w:rPr>
        <w:t>%</w:t>
      </w:r>
      <w:bookmarkStart w:id="48" w:name="OLE_LINK6"/>
      <w:r>
        <w:rPr>
          <w:rStyle w:val="17"/>
          <w:rFonts w:hint="eastAsia" w:ascii="仿宋" w:hAnsi="仿宋" w:eastAsia="仿宋"/>
          <w:b w:val="0"/>
          <w:bCs/>
          <w:sz w:val="32"/>
          <w:szCs w:val="32"/>
          <w:lang w:eastAsia="zh-CN"/>
        </w:rPr>
        <w:t>，</w:t>
      </w:r>
      <w:r>
        <w:rPr>
          <w:rStyle w:val="17"/>
          <w:rFonts w:hint="eastAsia" w:ascii="仿宋" w:hAnsi="仿宋" w:eastAsia="仿宋"/>
          <w:b w:val="0"/>
          <w:bCs/>
          <w:sz w:val="32"/>
          <w:szCs w:val="32"/>
        </w:rPr>
        <w:t>决算数等于预算数的主要原因是合理规划年初预算并严格执行。</w:t>
      </w:r>
      <w:bookmarkEnd w:id="48"/>
    </w:p>
    <w:p>
      <w:pPr>
        <w:spacing w:line="600" w:lineRule="exact"/>
        <w:ind w:firstLine="643" w:firstLineChars="200"/>
        <w:rPr>
          <w:rStyle w:val="17"/>
          <w:rFonts w:ascii="仿宋" w:hAnsi="仿宋" w:eastAsia="仿宋" w:cstheme="minorBidi"/>
          <w:b w:val="0"/>
          <w:bCs/>
          <w:sz w:val="32"/>
          <w:szCs w:val="32"/>
        </w:rPr>
      </w:pPr>
      <w:r>
        <w:rPr>
          <w:rStyle w:val="17"/>
          <w:rFonts w:hint="eastAsia" w:ascii="仿宋" w:hAnsi="仿宋" w:eastAsia="仿宋"/>
          <w:bCs/>
          <w:sz w:val="32"/>
          <w:szCs w:val="32"/>
          <w:lang w:val="en-US" w:eastAsia="zh-CN"/>
        </w:rPr>
        <w:t>2</w:t>
      </w:r>
      <w:r>
        <w:rPr>
          <w:rStyle w:val="17"/>
          <w:rFonts w:ascii="仿宋" w:hAnsi="仿宋" w:eastAsia="仿宋"/>
          <w:bCs/>
          <w:sz w:val="32"/>
          <w:szCs w:val="32"/>
        </w:rPr>
        <w:t>.</w:t>
      </w:r>
      <w:bookmarkStart w:id="49" w:name="OLE_LINK9"/>
      <w:r>
        <w:rPr>
          <w:rStyle w:val="17"/>
          <w:rFonts w:hint="eastAsia" w:ascii="仿宋" w:hAnsi="仿宋" w:eastAsia="仿宋" w:cstheme="minorBidi"/>
          <w:bCs/>
          <w:sz w:val="32"/>
          <w:szCs w:val="32"/>
        </w:rPr>
        <w:t>社会保障和就业（类）行政事业单位养老支出（款）机关事业单位基本养老保险缴费支出（项）: 支</w:t>
      </w:r>
      <w:r>
        <w:rPr>
          <w:rStyle w:val="17"/>
          <w:rFonts w:hint="eastAsia" w:ascii="仿宋" w:hAnsi="仿宋" w:eastAsia="仿宋" w:cstheme="minorBidi"/>
          <w:b w:val="0"/>
          <w:bCs/>
          <w:sz w:val="32"/>
          <w:szCs w:val="32"/>
        </w:rPr>
        <w:t>出决算为</w:t>
      </w:r>
      <w:r>
        <w:rPr>
          <w:rStyle w:val="17"/>
          <w:rFonts w:hint="eastAsia" w:ascii="仿宋" w:hAnsi="仿宋" w:eastAsia="仿宋" w:cstheme="minorBidi"/>
          <w:b w:val="0"/>
          <w:bCs/>
          <w:sz w:val="32"/>
          <w:szCs w:val="32"/>
          <w:lang w:val="en-US" w:eastAsia="zh-CN"/>
        </w:rPr>
        <w:t>2</w:t>
      </w:r>
      <w:r>
        <w:rPr>
          <w:rStyle w:val="17"/>
          <w:rFonts w:hint="eastAsia" w:ascii="仿宋" w:hAnsi="仿宋" w:eastAsia="仿宋" w:cstheme="minorBidi"/>
          <w:b w:val="0"/>
          <w:bCs/>
          <w:sz w:val="32"/>
          <w:szCs w:val="32"/>
        </w:rPr>
        <w:t>万元，完成预算100%，</w:t>
      </w:r>
      <w:r>
        <w:rPr>
          <w:rStyle w:val="17"/>
          <w:rFonts w:hint="eastAsia" w:ascii="仿宋" w:hAnsi="仿宋" w:eastAsia="仿宋"/>
          <w:b w:val="0"/>
          <w:bCs/>
          <w:sz w:val="32"/>
          <w:szCs w:val="32"/>
        </w:rPr>
        <w:t>决算数等于预算数的主要原因是合理规划年初预算并严格执行。</w:t>
      </w:r>
    </w:p>
    <w:bookmarkEnd w:id="49"/>
    <w:p>
      <w:pPr>
        <w:spacing w:line="600" w:lineRule="exact"/>
        <w:ind w:firstLine="803" w:firstLineChars="250"/>
        <w:rPr>
          <w:rStyle w:val="17"/>
          <w:rFonts w:ascii="仿宋" w:hAnsi="仿宋" w:eastAsia="仿宋" w:cstheme="minorBidi"/>
          <w:b w:val="0"/>
          <w:bCs/>
          <w:sz w:val="32"/>
          <w:szCs w:val="32"/>
        </w:rPr>
      </w:pPr>
      <w:bookmarkStart w:id="50" w:name="OLE_LINK10"/>
      <w:r>
        <w:rPr>
          <w:rStyle w:val="17"/>
          <w:rFonts w:hint="eastAsia" w:ascii="仿宋" w:hAnsi="仿宋" w:eastAsia="仿宋" w:cstheme="minorBidi"/>
          <w:bCs/>
          <w:sz w:val="32"/>
          <w:szCs w:val="32"/>
          <w:lang w:val="en-US" w:eastAsia="zh-CN"/>
        </w:rPr>
        <w:t>3.</w:t>
      </w:r>
      <w:r>
        <w:rPr>
          <w:rStyle w:val="17"/>
          <w:rFonts w:hint="eastAsia" w:ascii="仿宋" w:hAnsi="仿宋" w:eastAsia="仿宋" w:cstheme="minorBidi"/>
          <w:bCs/>
          <w:sz w:val="32"/>
          <w:szCs w:val="32"/>
        </w:rPr>
        <w:t>社会保障和就业（类）行政事业单位养老支出（款）机关事业单位职业年金缴费支出（项）:</w:t>
      </w:r>
      <w:r>
        <w:rPr>
          <w:rStyle w:val="17"/>
          <w:rFonts w:ascii="仿宋" w:hAnsi="仿宋" w:eastAsia="仿宋"/>
          <w:bCs/>
          <w:color w:val="000000"/>
          <w:sz w:val="32"/>
          <w:szCs w:val="32"/>
        </w:rPr>
        <w:t xml:space="preserve"> </w:t>
      </w:r>
      <w:r>
        <w:rPr>
          <w:rStyle w:val="17"/>
          <w:rFonts w:hint="eastAsia" w:ascii="仿宋" w:hAnsi="仿宋" w:eastAsia="仿宋" w:cstheme="minorBidi"/>
          <w:b w:val="0"/>
          <w:bCs/>
          <w:sz w:val="32"/>
          <w:szCs w:val="32"/>
        </w:rPr>
        <w:t>支出决算为</w:t>
      </w:r>
      <w:r>
        <w:rPr>
          <w:rStyle w:val="17"/>
          <w:rFonts w:hint="eastAsia" w:ascii="仿宋" w:hAnsi="仿宋" w:eastAsia="仿宋" w:cstheme="minorBidi"/>
          <w:b w:val="0"/>
          <w:bCs/>
          <w:sz w:val="32"/>
          <w:szCs w:val="32"/>
          <w:lang w:val="en-US" w:eastAsia="zh-CN"/>
        </w:rPr>
        <w:t>1</w:t>
      </w:r>
      <w:r>
        <w:rPr>
          <w:rStyle w:val="17"/>
          <w:rFonts w:hint="eastAsia" w:ascii="仿宋" w:hAnsi="仿宋" w:eastAsia="仿宋" w:cstheme="minorBidi"/>
          <w:b w:val="0"/>
          <w:bCs/>
          <w:sz w:val="32"/>
          <w:szCs w:val="32"/>
        </w:rPr>
        <w:t>万元，完成预算100%，</w:t>
      </w:r>
      <w:r>
        <w:rPr>
          <w:rStyle w:val="17"/>
          <w:rFonts w:hint="eastAsia" w:ascii="仿宋" w:hAnsi="仿宋" w:eastAsia="仿宋"/>
          <w:b w:val="0"/>
          <w:bCs/>
          <w:sz w:val="32"/>
          <w:szCs w:val="32"/>
        </w:rPr>
        <w:t>决算数等于预算数的主要原因是合理规划年初预算并严格执行。</w:t>
      </w:r>
    </w:p>
    <w:bookmarkEnd w:id="50"/>
    <w:p>
      <w:pPr>
        <w:spacing w:line="600" w:lineRule="exact"/>
        <w:ind w:firstLine="803" w:firstLineChars="250"/>
        <w:rPr>
          <w:rStyle w:val="17"/>
          <w:rFonts w:hint="eastAsia" w:ascii="仿宋" w:hAnsi="仿宋" w:eastAsia="仿宋"/>
          <w:b w:val="0"/>
          <w:bCs/>
          <w:sz w:val="32"/>
          <w:szCs w:val="32"/>
        </w:rPr>
      </w:pPr>
      <w:bookmarkStart w:id="51" w:name="OLE_LINK3"/>
      <w:r>
        <w:rPr>
          <w:rStyle w:val="17"/>
          <w:rFonts w:hint="eastAsia" w:ascii="仿宋" w:hAnsi="仿宋" w:eastAsia="仿宋" w:cstheme="minorBidi"/>
          <w:bCs/>
          <w:sz w:val="32"/>
          <w:szCs w:val="32"/>
          <w:lang w:val="en-US" w:eastAsia="zh-CN"/>
        </w:rPr>
        <w:t>4.</w:t>
      </w:r>
      <w:r>
        <w:rPr>
          <w:rStyle w:val="17"/>
          <w:rFonts w:hint="eastAsia" w:ascii="仿宋" w:hAnsi="仿宋" w:eastAsia="仿宋" w:cstheme="minorBidi"/>
          <w:bCs/>
          <w:sz w:val="32"/>
          <w:szCs w:val="32"/>
        </w:rPr>
        <w:t>社会保障和就业（类）行政事业单位养老支出（款）其他行政事业单位养老支出（项）:</w:t>
      </w:r>
      <w:r>
        <w:rPr>
          <w:rStyle w:val="17"/>
          <w:rFonts w:hint="eastAsia" w:ascii="仿宋_GB2312" w:eastAsia="仿宋_GB2312"/>
          <w:color w:val="000000"/>
          <w:sz w:val="32"/>
          <w:szCs w:val="32"/>
        </w:rPr>
        <w:t xml:space="preserve"> </w:t>
      </w:r>
      <w:bookmarkEnd w:id="51"/>
      <w:r>
        <w:rPr>
          <w:rStyle w:val="17"/>
          <w:rFonts w:hint="eastAsia" w:ascii="仿宋" w:hAnsi="仿宋" w:eastAsia="仿宋" w:cstheme="minorBidi"/>
          <w:b w:val="0"/>
          <w:bCs/>
          <w:sz w:val="32"/>
          <w:szCs w:val="32"/>
        </w:rPr>
        <w:t>支出决算为</w:t>
      </w:r>
      <w:r>
        <w:rPr>
          <w:rStyle w:val="17"/>
          <w:rFonts w:hint="eastAsia" w:ascii="仿宋" w:hAnsi="仿宋" w:eastAsia="仿宋" w:cstheme="minorBidi"/>
          <w:b w:val="0"/>
          <w:bCs/>
          <w:sz w:val="32"/>
          <w:szCs w:val="32"/>
          <w:lang w:val="en-US" w:eastAsia="zh-CN"/>
        </w:rPr>
        <w:t>0.7</w:t>
      </w:r>
      <w:r>
        <w:rPr>
          <w:rStyle w:val="17"/>
          <w:rFonts w:hint="eastAsia" w:ascii="仿宋" w:hAnsi="仿宋" w:eastAsia="仿宋" w:cstheme="minorBidi"/>
          <w:b w:val="0"/>
          <w:bCs/>
          <w:sz w:val="32"/>
          <w:szCs w:val="32"/>
        </w:rPr>
        <w:t>万元，完成预算100%，</w:t>
      </w:r>
      <w:r>
        <w:rPr>
          <w:rStyle w:val="17"/>
          <w:rFonts w:hint="eastAsia" w:ascii="仿宋" w:hAnsi="仿宋" w:eastAsia="仿宋"/>
          <w:b w:val="0"/>
          <w:bCs/>
          <w:sz w:val="32"/>
          <w:szCs w:val="32"/>
        </w:rPr>
        <w:t>决算数等于预算数的主要原因是合理规划年初预算并严格执行。</w:t>
      </w:r>
    </w:p>
    <w:p>
      <w:pPr>
        <w:spacing w:line="600" w:lineRule="exact"/>
        <w:ind w:firstLine="803" w:firstLineChars="250"/>
        <w:rPr>
          <w:rFonts w:hint="eastAsia" w:eastAsia="仿宋"/>
          <w:lang w:eastAsia="zh-CN"/>
        </w:rPr>
      </w:pPr>
      <w:r>
        <w:rPr>
          <w:rStyle w:val="17"/>
          <w:rFonts w:hint="eastAsia" w:ascii="仿宋" w:hAnsi="仿宋" w:eastAsia="仿宋"/>
          <w:bCs/>
          <w:sz w:val="32"/>
          <w:szCs w:val="32"/>
          <w:lang w:val="en-US" w:eastAsia="zh-CN"/>
        </w:rPr>
        <w:t>5.</w:t>
      </w:r>
      <w:r>
        <w:rPr>
          <w:rStyle w:val="17"/>
          <w:rFonts w:hint="eastAsia" w:ascii="仿宋" w:hAnsi="仿宋" w:eastAsia="仿宋"/>
          <w:bCs/>
          <w:sz w:val="32"/>
          <w:szCs w:val="32"/>
        </w:rPr>
        <w:t>社会保障和就业（类）</w:t>
      </w:r>
      <w:r>
        <w:rPr>
          <w:rStyle w:val="17"/>
          <w:rFonts w:hint="eastAsia" w:ascii="仿宋" w:hAnsi="仿宋" w:eastAsia="仿宋"/>
          <w:bCs/>
          <w:sz w:val="32"/>
          <w:szCs w:val="32"/>
          <w:lang w:val="en-US" w:eastAsia="zh-CN"/>
        </w:rPr>
        <w:t>残疾人事业</w:t>
      </w:r>
      <w:r>
        <w:rPr>
          <w:rStyle w:val="17"/>
          <w:rFonts w:hint="eastAsia" w:ascii="仿宋" w:hAnsi="仿宋" w:eastAsia="仿宋"/>
          <w:bCs/>
          <w:sz w:val="32"/>
          <w:szCs w:val="32"/>
        </w:rPr>
        <w:t>（款）</w:t>
      </w:r>
      <w:r>
        <w:rPr>
          <w:rStyle w:val="17"/>
          <w:rFonts w:hint="eastAsia" w:ascii="仿宋" w:hAnsi="仿宋" w:eastAsia="仿宋"/>
          <w:bCs/>
          <w:sz w:val="32"/>
          <w:szCs w:val="32"/>
          <w:lang w:val="en-US" w:eastAsia="zh-CN"/>
        </w:rPr>
        <w:t>残疾人就业</w:t>
      </w:r>
      <w:r>
        <w:rPr>
          <w:rStyle w:val="17"/>
          <w:rFonts w:hint="eastAsia" w:ascii="仿宋" w:hAnsi="仿宋" w:eastAsia="仿宋"/>
          <w:bCs/>
          <w:sz w:val="32"/>
          <w:szCs w:val="32"/>
        </w:rPr>
        <w:t>（项）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0.15</w:t>
      </w:r>
      <w:r>
        <w:rPr>
          <w:rStyle w:val="17"/>
          <w:rFonts w:hint="eastAsia" w:ascii="仿宋" w:hAnsi="仿宋" w:eastAsia="仿宋"/>
          <w:b w:val="0"/>
          <w:bCs/>
          <w:sz w:val="32"/>
          <w:szCs w:val="32"/>
        </w:rPr>
        <w:t>万元，完成预算100</w:t>
      </w:r>
      <w:r>
        <w:rPr>
          <w:rStyle w:val="17"/>
          <w:rFonts w:ascii="仿宋" w:hAnsi="仿宋" w:eastAsia="仿宋"/>
          <w:b w:val="0"/>
          <w:bCs/>
          <w:sz w:val="32"/>
          <w:szCs w:val="32"/>
        </w:rPr>
        <w:t>%</w:t>
      </w:r>
      <w:r>
        <w:rPr>
          <w:rStyle w:val="17"/>
          <w:rFonts w:hint="eastAsia" w:ascii="仿宋" w:hAnsi="仿宋" w:eastAsia="仿宋"/>
          <w:b w:val="0"/>
          <w:bCs/>
          <w:sz w:val="32"/>
          <w:szCs w:val="32"/>
        </w:rPr>
        <w:t>，决算数等于预算数的主要原因是合理规划年初预算并严格执行</w:t>
      </w:r>
      <w:r>
        <w:rPr>
          <w:rStyle w:val="17"/>
          <w:rFonts w:hint="eastAsia" w:ascii="仿宋" w:hAnsi="仿宋" w:eastAsia="仿宋"/>
          <w:b w:val="0"/>
          <w:bCs/>
          <w:sz w:val="32"/>
          <w:szCs w:val="32"/>
          <w:lang w:eastAsia="zh-CN"/>
        </w:rPr>
        <w:t>。</w:t>
      </w:r>
    </w:p>
    <w:p>
      <w:pPr>
        <w:spacing w:line="600" w:lineRule="exact"/>
        <w:ind w:firstLine="803" w:firstLineChars="250"/>
        <w:rPr>
          <w:rStyle w:val="17"/>
          <w:rFonts w:ascii="仿宋" w:hAnsi="仿宋" w:eastAsia="仿宋" w:cstheme="minorBidi"/>
          <w:b w:val="0"/>
          <w:bCs/>
          <w:sz w:val="32"/>
          <w:szCs w:val="32"/>
        </w:rPr>
      </w:pPr>
      <w:bookmarkStart w:id="52" w:name="OLE_LINK11"/>
      <w:r>
        <w:rPr>
          <w:rStyle w:val="17"/>
          <w:rFonts w:hint="eastAsia" w:ascii="仿宋" w:hAnsi="仿宋" w:eastAsia="仿宋" w:cstheme="minorBidi"/>
          <w:bCs/>
          <w:sz w:val="32"/>
          <w:szCs w:val="32"/>
          <w:lang w:val="en-US" w:eastAsia="zh-CN"/>
        </w:rPr>
        <w:t>6.</w:t>
      </w:r>
      <w:r>
        <w:rPr>
          <w:rStyle w:val="17"/>
          <w:rFonts w:hint="eastAsia" w:ascii="仿宋" w:hAnsi="仿宋" w:eastAsia="仿宋" w:cstheme="minorBidi"/>
          <w:bCs/>
          <w:sz w:val="32"/>
          <w:szCs w:val="32"/>
        </w:rPr>
        <w:t>社会保障和就业（类）其他社会保障和就业支出（款）其他社会保障和就业支出（项）:</w:t>
      </w:r>
      <w:r>
        <w:rPr>
          <w:rStyle w:val="17"/>
          <w:rFonts w:hint="eastAsia" w:ascii="仿宋_GB2312" w:eastAsia="仿宋_GB2312"/>
          <w:color w:val="000000"/>
          <w:sz w:val="32"/>
          <w:szCs w:val="32"/>
        </w:rPr>
        <w:t xml:space="preserve"> </w:t>
      </w:r>
      <w:r>
        <w:rPr>
          <w:rStyle w:val="17"/>
          <w:rFonts w:hint="eastAsia" w:ascii="仿宋" w:hAnsi="仿宋" w:eastAsia="仿宋" w:cstheme="minorBidi"/>
          <w:b w:val="0"/>
          <w:bCs/>
          <w:sz w:val="32"/>
          <w:szCs w:val="32"/>
        </w:rPr>
        <w:t>支出决算为</w:t>
      </w:r>
      <w:r>
        <w:rPr>
          <w:rStyle w:val="17"/>
          <w:rFonts w:hint="eastAsia" w:ascii="仿宋" w:hAnsi="仿宋" w:eastAsia="仿宋" w:cstheme="minorBidi"/>
          <w:b w:val="0"/>
          <w:bCs/>
          <w:sz w:val="32"/>
          <w:szCs w:val="32"/>
          <w:lang w:val="en-US" w:eastAsia="zh-CN"/>
        </w:rPr>
        <w:t>1.9</w:t>
      </w:r>
      <w:r>
        <w:rPr>
          <w:rStyle w:val="17"/>
          <w:rFonts w:hint="eastAsia" w:ascii="仿宋" w:hAnsi="仿宋" w:eastAsia="仿宋" w:cstheme="minorBidi"/>
          <w:b w:val="0"/>
          <w:bCs/>
          <w:sz w:val="32"/>
          <w:szCs w:val="32"/>
        </w:rPr>
        <w:t>万元，完成预算100%，</w:t>
      </w:r>
      <w:r>
        <w:rPr>
          <w:rStyle w:val="17"/>
          <w:rFonts w:hint="eastAsia" w:ascii="仿宋" w:hAnsi="仿宋" w:eastAsia="仿宋"/>
          <w:b w:val="0"/>
          <w:bCs/>
          <w:sz w:val="32"/>
          <w:szCs w:val="32"/>
        </w:rPr>
        <w:t>决算数等于预算数的主要原因是合理规划年初预算并严格执行。</w:t>
      </w:r>
    </w:p>
    <w:bookmarkEnd w:id="52"/>
    <w:p>
      <w:pPr>
        <w:spacing w:line="600" w:lineRule="exact"/>
        <w:ind w:firstLine="643" w:firstLineChars="200"/>
        <w:rPr>
          <w:rStyle w:val="17"/>
          <w:rFonts w:ascii="仿宋" w:hAnsi="仿宋" w:eastAsia="仿宋"/>
          <w:b w:val="0"/>
          <w:bCs/>
          <w:sz w:val="32"/>
          <w:szCs w:val="32"/>
        </w:rPr>
      </w:pPr>
      <w:r>
        <w:rPr>
          <w:rStyle w:val="17"/>
          <w:rFonts w:hint="eastAsia" w:ascii="仿宋" w:hAnsi="仿宋" w:eastAsia="仿宋"/>
          <w:bCs/>
          <w:sz w:val="32"/>
          <w:szCs w:val="32"/>
          <w:lang w:val="en-US" w:eastAsia="zh-CN"/>
        </w:rPr>
        <w:t>7</w:t>
      </w:r>
      <w:r>
        <w:rPr>
          <w:rStyle w:val="17"/>
          <w:rFonts w:ascii="仿宋" w:hAnsi="仿宋" w:eastAsia="仿宋"/>
          <w:bCs/>
          <w:sz w:val="32"/>
          <w:szCs w:val="32"/>
        </w:rPr>
        <w:t>.</w:t>
      </w:r>
      <w:r>
        <w:rPr>
          <w:rFonts w:hint="eastAsia" w:ascii="仿宋" w:hAnsi="仿宋" w:eastAsia="仿宋"/>
          <w:b/>
          <w:bCs/>
          <w:sz w:val="32"/>
          <w:szCs w:val="32"/>
        </w:rPr>
        <w:t>卫生健康（类）行政事业单位医疗（款）事业单位医疗（项）:</w:t>
      </w:r>
      <w:r>
        <w:rPr>
          <w:rStyle w:val="17"/>
          <w:rFonts w:hint="eastAsia" w:ascii="仿宋" w:hAnsi="仿宋" w:eastAsia="仿宋" w:cstheme="minorBidi"/>
          <w:b w:val="0"/>
          <w:bCs/>
          <w:sz w:val="32"/>
          <w:szCs w:val="32"/>
        </w:rPr>
        <w:t>支出决算为</w:t>
      </w:r>
      <w:r>
        <w:rPr>
          <w:rStyle w:val="17"/>
          <w:rFonts w:hint="eastAsia" w:ascii="仿宋" w:hAnsi="仿宋" w:eastAsia="仿宋" w:cstheme="minorBidi"/>
          <w:b w:val="0"/>
          <w:bCs/>
          <w:sz w:val="32"/>
          <w:szCs w:val="32"/>
          <w:lang w:val="en-US" w:eastAsia="zh-CN"/>
        </w:rPr>
        <w:t>0.45</w:t>
      </w:r>
      <w:r>
        <w:rPr>
          <w:rStyle w:val="17"/>
          <w:rFonts w:hint="eastAsia" w:ascii="仿宋" w:hAnsi="仿宋" w:eastAsia="仿宋" w:cstheme="minorBidi"/>
          <w:b w:val="0"/>
          <w:bCs/>
          <w:sz w:val="32"/>
          <w:szCs w:val="32"/>
        </w:rPr>
        <w:t>万元，完成预算100%，</w:t>
      </w:r>
      <w:r>
        <w:rPr>
          <w:rStyle w:val="17"/>
          <w:rFonts w:hint="eastAsia" w:ascii="仿宋" w:hAnsi="仿宋" w:eastAsia="仿宋"/>
          <w:b w:val="0"/>
          <w:bCs/>
          <w:sz w:val="32"/>
          <w:szCs w:val="32"/>
        </w:rPr>
        <w:t>决算数等于预算数的主要原因是合理规划年初预算并严格执行。</w:t>
      </w:r>
    </w:p>
    <w:p>
      <w:pPr>
        <w:spacing w:line="600" w:lineRule="exact"/>
        <w:ind w:firstLine="643" w:firstLineChars="200"/>
        <w:rPr>
          <w:rStyle w:val="17"/>
          <w:rFonts w:hint="eastAsia" w:ascii="仿宋" w:hAnsi="仿宋" w:eastAsia="仿宋"/>
          <w:b w:val="0"/>
          <w:bCs/>
          <w:sz w:val="32"/>
          <w:szCs w:val="32"/>
        </w:rPr>
      </w:pPr>
      <w:r>
        <w:rPr>
          <w:rFonts w:hint="eastAsia" w:ascii="仿宋" w:hAnsi="仿宋" w:eastAsia="仿宋"/>
          <w:b/>
          <w:bCs/>
          <w:sz w:val="32"/>
          <w:szCs w:val="32"/>
          <w:lang w:val="en-US" w:eastAsia="zh-CN"/>
        </w:rPr>
        <w:t>8.</w:t>
      </w:r>
      <w:r>
        <w:rPr>
          <w:rFonts w:hint="eastAsia" w:ascii="仿宋" w:hAnsi="仿宋" w:eastAsia="仿宋"/>
          <w:b/>
          <w:bCs/>
          <w:sz w:val="32"/>
          <w:szCs w:val="32"/>
        </w:rPr>
        <w:t>卫生健康（类）行政事业单位医疗（款）公务员医疗补助（项）:</w:t>
      </w:r>
      <w:r>
        <w:rPr>
          <w:rStyle w:val="17"/>
          <w:rFonts w:hint="eastAsia" w:ascii="仿宋" w:hAnsi="仿宋" w:eastAsia="仿宋" w:cstheme="minorBidi"/>
          <w:b w:val="0"/>
          <w:bCs/>
          <w:sz w:val="32"/>
          <w:szCs w:val="32"/>
        </w:rPr>
        <w:t>支出决算为</w:t>
      </w:r>
      <w:r>
        <w:rPr>
          <w:rStyle w:val="17"/>
          <w:rFonts w:hint="eastAsia" w:ascii="仿宋" w:hAnsi="仿宋" w:eastAsia="仿宋" w:cstheme="minorBidi"/>
          <w:b w:val="0"/>
          <w:bCs/>
          <w:sz w:val="32"/>
          <w:szCs w:val="32"/>
          <w:lang w:val="en-US" w:eastAsia="zh-CN"/>
        </w:rPr>
        <w:t>0.18</w:t>
      </w:r>
      <w:r>
        <w:rPr>
          <w:rStyle w:val="17"/>
          <w:rFonts w:hint="eastAsia" w:ascii="仿宋" w:hAnsi="仿宋" w:eastAsia="仿宋" w:cstheme="minorBidi"/>
          <w:b w:val="0"/>
          <w:bCs/>
          <w:sz w:val="32"/>
          <w:szCs w:val="32"/>
        </w:rPr>
        <w:t>万元，完成预算100%，</w:t>
      </w:r>
      <w:r>
        <w:rPr>
          <w:rStyle w:val="17"/>
          <w:rFonts w:hint="eastAsia" w:ascii="仿宋" w:hAnsi="仿宋" w:eastAsia="仿宋"/>
          <w:b w:val="0"/>
          <w:bCs/>
          <w:sz w:val="32"/>
          <w:szCs w:val="32"/>
        </w:rPr>
        <w:t>决算数等于预算数的主要原因是合理规划年初预算并严格执行。</w:t>
      </w:r>
    </w:p>
    <w:p>
      <w:pPr>
        <w:pStyle w:val="2"/>
        <w:rPr>
          <w:rFonts w:hint="default" w:eastAsia="仿宋"/>
          <w:lang w:val="en-US" w:eastAsia="zh-CN"/>
        </w:rPr>
      </w:pPr>
      <w:r>
        <w:rPr>
          <w:rStyle w:val="17"/>
          <w:rFonts w:hint="eastAsia" w:ascii="仿宋" w:hAnsi="仿宋" w:eastAsia="仿宋"/>
          <w:b w:val="0"/>
          <w:bCs/>
          <w:sz w:val="32"/>
          <w:szCs w:val="32"/>
          <w:lang w:val="en-US" w:eastAsia="zh-CN"/>
        </w:rPr>
        <w:t xml:space="preserve">  </w:t>
      </w:r>
      <w:r>
        <w:rPr>
          <w:rFonts w:hint="eastAsia" w:ascii="仿宋" w:hAnsi="仿宋" w:eastAsia="仿宋"/>
          <w:b/>
          <w:bCs/>
          <w:sz w:val="32"/>
          <w:szCs w:val="32"/>
          <w:lang w:val="en-US" w:eastAsia="zh-CN"/>
        </w:rPr>
        <w:t xml:space="preserve">  9.</w:t>
      </w:r>
      <w:r>
        <w:rPr>
          <w:rFonts w:hint="eastAsia" w:ascii="仿宋" w:hAnsi="仿宋" w:eastAsia="仿宋"/>
          <w:b/>
          <w:bCs/>
          <w:sz w:val="32"/>
          <w:szCs w:val="32"/>
        </w:rPr>
        <w:t>住房保障支出</w:t>
      </w:r>
      <w:r>
        <w:rPr>
          <w:rStyle w:val="17"/>
          <w:rFonts w:hint="eastAsia" w:ascii="仿宋" w:hAnsi="仿宋" w:eastAsia="仿宋"/>
          <w:bCs/>
          <w:sz w:val="32"/>
          <w:szCs w:val="32"/>
        </w:rPr>
        <w:t>（类）住房改革支出（款）住房公积金（项）</w:t>
      </w:r>
      <w:r>
        <w:rPr>
          <w:rStyle w:val="17"/>
          <w:rFonts w:ascii="仿宋" w:hAnsi="仿宋" w:eastAsia="仿宋"/>
          <w:bCs/>
          <w:sz w:val="32"/>
          <w:szCs w:val="32"/>
        </w:rPr>
        <w:t>:</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1.47</w:t>
      </w:r>
      <w:r>
        <w:rPr>
          <w:rStyle w:val="17"/>
          <w:rFonts w:hint="eastAsia" w:ascii="仿宋" w:hAnsi="仿宋" w:eastAsia="仿宋"/>
          <w:b w:val="0"/>
          <w:bCs/>
          <w:sz w:val="32"/>
          <w:szCs w:val="32"/>
        </w:rPr>
        <w:t>万元，完成预算100</w:t>
      </w:r>
      <w:r>
        <w:rPr>
          <w:rStyle w:val="17"/>
          <w:rFonts w:ascii="仿宋" w:hAnsi="仿宋" w:eastAsia="仿宋"/>
          <w:b w:val="0"/>
          <w:bCs/>
          <w:sz w:val="32"/>
          <w:szCs w:val="32"/>
        </w:rPr>
        <w:t>%</w:t>
      </w:r>
      <w:r>
        <w:rPr>
          <w:rStyle w:val="17"/>
          <w:rFonts w:hint="eastAsia" w:ascii="仿宋" w:hAnsi="仿宋" w:eastAsia="仿宋"/>
          <w:b w:val="0"/>
          <w:bCs/>
          <w:sz w:val="32"/>
          <w:szCs w:val="32"/>
        </w:rPr>
        <w:t>，决算数等于预算数的主要原因是合理规划年初预算并严格执行</w:t>
      </w:r>
      <w:r>
        <w:rPr>
          <w:rStyle w:val="17"/>
          <w:rFonts w:hint="eastAsia" w:ascii="仿宋" w:hAnsi="仿宋" w:eastAsia="仿宋"/>
          <w:b w:val="0"/>
          <w:bCs/>
          <w:sz w:val="32"/>
          <w:szCs w:val="32"/>
          <w:lang w:eastAsia="zh-CN"/>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1-1表和财决08表，仅罗列本单位涉及的全部功能分类科目，至项级。上述“预算”口径为全年预算数。增减变动原因为决算数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和全年预算数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比较，与预算数持平可以不写原因。）</w:t>
      </w:r>
    </w:p>
    <w:bookmarkEnd w:id="46"/>
    <w:p>
      <w:pPr>
        <w:tabs>
          <w:tab w:val="right" w:pos="8306"/>
        </w:tabs>
        <w:spacing w:line="600" w:lineRule="exact"/>
        <w:ind w:firstLine="640"/>
        <w:outlineLvl w:val="1"/>
        <w:rPr>
          <w:rStyle w:val="29"/>
        </w:rPr>
      </w:pPr>
      <w:bookmarkStart w:id="53" w:name="_Toc15396608"/>
      <w:bookmarkStart w:id="54"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53"/>
      <w:bookmarkEnd w:id="54"/>
      <w:r>
        <w:rPr>
          <w:rStyle w:val="29"/>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20.53</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18.53</w:t>
      </w:r>
      <w:r>
        <w:rPr>
          <w:rFonts w:hint="eastAsia" w:ascii="仿宋" w:hAnsi="仿宋" w:eastAsia="仿宋"/>
          <w:sz w:val="32"/>
          <w:szCs w:val="32"/>
        </w:rPr>
        <w:t>万元，主要包括：基本工资、津贴补贴、伙食补助费、绩效工资、机关事业单位基本养老保险缴费、职业年金缴费、其他社会保障缴费</w:t>
      </w:r>
      <w:r>
        <w:rPr>
          <w:rFonts w:hint="eastAsia" w:ascii="仿宋" w:hAnsi="仿宋" w:eastAsia="仿宋"/>
          <w:sz w:val="32"/>
          <w:szCs w:val="32"/>
          <w:lang w:eastAsia="zh-CN"/>
        </w:rPr>
        <w:t>、</w:t>
      </w:r>
      <w:r>
        <w:rPr>
          <w:rFonts w:hint="eastAsia" w:ascii="仿宋" w:hAnsi="仿宋" w:eastAsia="仿宋"/>
          <w:sz w:val="32"/>
          <w:szCs w:val="32"/>
        </w:rPr>
        <w:t>住房公积金、其他对个人和家庭的补助支出。</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2</w:t>
      </w:r>
      <w:r>
        <w:rPr>
          <w:rFonts w:hint="eastAsia" w:ascii="仿宋" w:hAnsi="仿宋" w:eastAsia="仿宋"/>
          <w:sz w:val="32"/>
          <w:szCs w:val="32"/>
        </w:rPr>
        <w:t>万元，主要包括：办公费、邮电费、差旅费、维修（护）费、福利费。</w:t>
      </w:r>
    </w:p>
    <w:p>
      <w:pPr>
        <w:spacing w:line="600" w:lineRule="exact"/>
        <w:ind w:firstLine="645"/>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7表和财决08-1表，仅罗列本单位实际支出涉及的经济分类科目。）</w:t>
      </w:r>
    </w:p>
    <w:p>
      <w:pPr>
        <w:spacing w:line="600" w:lineRule="exact"/>
        <w:ind w:firstLine="640"/>
        <w:rPr>
          <w:rFonts w:ascii="仿宋" w:hAnsi="仿宋" w:eastAsia="仿宋"/>
          <w:b/>
          <w:sz w:val="32"/>
          <w:szCs w:val="32"/>
        </w:rPr>
      </w:pPr>
    </w:p>
    <w:p>
      <w:pPr>
        <w:spacing w:line="600" w:lineRule="exact"/>
        <w:ind w:firstLine="640"/>
        <w:outlineLvl w:val="1"/>
        <w:rPr>
          <w:rStyle w:val="29"/>
          <w:rFonts w:ascii="黑体" w:hAnsi="黑体" w:eastAsia="黑体"/>
          <w:b w:val="0"/>
        </w:rPr>
      </w:pPr>
      <w:bookmarkStart w:id="55" w:name="_Toc15377215"/>
      <w:bookmarkStart w:id="56"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55"/>
      <w:bookmarkEnd w:id="56"/>
    </w:p>
    <w:p>
      <w:pPr>
        <w:spacing w:line="600" w:lineRule="exact"/>
        <w:ind w:firstLine="640"/>
        <w:outlineLvl w:val="2"/>
        <w:rPr>
          <w:rFonts w:ascii="仿宋" w:hAnsi="仿宋" w:eastAsia="仿宋"/>
          <w:b/>
          <w:sz w:val="32"/>
          <w:szCs w:val="32"/>
        </w:rPr>
      </w:pPr>
      <w:bookmarkStart w:id="57" w:name="_Toc15377216"/>
      <w:r>
        <w:rPr>
          <w:rFonts w:hint="eastAsia" w:ascii="仿宋" w:hAnsi="仿宋" w:eastAsia="仿宋"/>
          <w:b/>
          <w:sz w:val="32"/>
          <w:szCs w:val="32"/>
        </w:rPr>
        <w:t>（一）“三公”经费财政拨款支出决算总体情况说明</w:t>
      </w:r>
      <w:bookmarkEnd w:id="57"/>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3.1</w:t>
      </w:r>
      <w:r>
        <w:rPr>
          <w:rFonts w:hint="eastAsia" w:ascii="仿宋" w:hAnsi="仿宋" w:eastAsia="仿宋"/>
          <w:sz w:val="32"/>
          <w:szCs w:val="32"/>
        </w:rPr>
        <w:t>万元，完成预算</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，较上年度增加</w:t>
      </w:r>
      <w:r>
        <w:rPr>
          <w:rFonts w:hint="eastAsia" w:ascii="仿宋" w:hAnsi="仿宋" w:eastAsia="仿宋"/>
          <w:sz w:val="32"/>
          <w:szCs w:val="32"/>
          <w:lang w:val="en-US" w:eastAsia="zh-CN"/>
        </w:rPr>
        <w:t>2.33</w:t>
      </w:r>
      <w:r>
        <w:rPr>
          <w:rFonts w:hint="eastAsia" w:ascii="仿宋" w:hAnsi="仿宋" w:eastAsia="仿宋"/>
          <w:sz w:val="32"/>
          <w:szCs w:val="32"/>
        </w:rPr>
        <w:t>万元，增长</w:t>
      </w:r>
      <w:r>
        <w:rPr>
          <w:rFonts w:hint="eastAsia" w:ascii="仿宋" w:hAnsi="仿宋" w:eastAsia="仿宋"/>
          <w:sz w:val="32"/>
          <w:szCs w:val="32"/>
          <w:lang w:val="en-US" w:eastAsia="zh-CN"/>
        </w:rPr>
        <w:t>302.59</w:t>
      </w:r>
      <w:r>
        <w:rPr>
          <w:rFonts w:hint="eastAsia" w:ascii="仿宋" w:hAnsi="仿宋" w:eastAsia="仿宋"/>
          <w:sz w:val="32"/>
          <w:szCs w:val="32"/>
        </w:rPr>
        <w:t>%。决算数与预算数）的主要原因是</w:t>
      </w:r>
      <w:r>
        <w:rPr>
          <w:rStyle w:val="17"/>
          <w:rFonts w:hint="eastAsia" w:ascii="仿宋" w:hAnsi="仿宋" w:eastAsia="仿宋"/>
          <w:b w:val="0"/>
          <w:bCs/>
          <w:sz w:val="32"/>
          <w:szCs w:val="32"/>
        </w:rPr>
        <w:t>合理规划年初预算并严格执行</w:t>
      </w:r>
      <w:r>
        <w:rPr>
          <w:rFonts w:hint="eastAsia" w:ascii="仿宋" w:hAnsi="仿宋" w:eastAsia="仿宋"/>
          <w:sz w:val="32"/>
          <w:szCs w:val="32"/>
        </w:rPr>
        <w:t>。</w:t>
      </w:r>
    </w:p>
    <w:p>
      <w:pPr>
        <w:spacing w:line="600" w:lineRule="exact"/>
        <w:ind w:firstLine="640"/>
        <w:rPr>
          <w:rFonts w:ascii="仿宋" w:hAnsi="仿宋" w:eastAsia="仿宋"/>
          <w:b/>
          <w:sz w:val="32"/>
          <w:szCs w:val="32"/>
        </w:rPr>
      </w:pPr>
      <w:r>
        <w:rPr>
          <w:rFonts w:hint="eastAsia" w:ascii="仿宋" w:hAnsi="仿宋" w:eastAsia="仿宋"/>
          <w:b/>
          <w:sz w:val="32"/>
          <w:szCs w:val="32"/>
        </w:rPr>
        <w:t>（注：上述“预算”口径为全年预算数，包括一般公共预算和政府性基金预算财政拨款支出决算情况。）</w:t>
      </w:r>
    </w:p>
    <w:p>
      <w:pPr>
        <w:spacing w:line="600" w:lineRule="exact"/>
        <w:ind w:firstLine="640"/>
        <w:outlineLvl w:val="2"/>
        <w:rPr>
          <w:rFonts w:ascii="仿宋" w:hAnsi="仿宋" w:eastAsia="仿宋"/>
          <w:b/>
          <w:sz w:val="32"/>
          <w:szCs w:val="32"/>
        </w:rPr>
      </w:pPr>
      <w:bookmarkStart w:id="58" w:name="_Toc15377217"/>
      <w:r>
        <w:rPr>
          <w:rFonts w:hint="eastAsia" w:ascii="仿宋" w:hAnsi="仿宋" w:eastAsia="仿宋"/>
          <w:b/>
          <w:sz w:val="32"/>
          <w:szCs w:val="32"/>
        </w:rPr>
        <w:t>（二）“三公”经费财政拨款支出决算具体情况说明</w:t>
      </w:r>
      <w:bookmarkEnd w:id="58"/>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3.1</w:t>
      </w:r>
      <w:r>
        <w:rPr>
          <w:rFonts w:hint="eastAsia" w:ascii="仿宋" w:hAnsi="仿宋" w:eastAsia="仿宋"/>
          <w:sz w:val="32"/>
          <w:szCs w:val="32"/>
        </w:rPr>
        <w:t>万元，占</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hint="eastAsia" w:ascii="仿宋" w:hAnsi="仿宋" w:eastAsia="仿宋"/>
          <w:sz w:val="32"/>
          <w:szCs w:val="32"/>
        </w:rPr>
      </w:pPr>
      <w:r>
        <w:rPr>
          <w:rFonts w:hint="eastAsia" w:ascii="仿宋" w:hAnsi="仿宋" w:eastAsia="仿宋"/>
          <w:sz w:val="32"/>
          <w:szCs w:val="32"/>
        </w:rPr>
        <w:t>（图7：“三公”经费财政拨款支出结构）（饼状图）</w:t>
      </w:r>
    </w:p>
    <w:p>
      <w:pPr>
        <w:pStyle w:val="2"/>
        <w:rPr>
          <w:rFonts w:hint="eastAsia" w:ascii="仿宋" w:hAnsi="仿宋" w:eastAsia="仿宋"/>
          <w:sz w:val="32"/>
          <w:szCs w:val="32"/>
        </w:rPr>
      </w:pPr>
      <w:r>
        <w:rPr>
          <w:rFonts w:hint="eastAsia" w:ascii="仿宋" w:hAnsi="仿宋" w:eastAsia="仿宋"/>
          <w:sz w:val="32"/>
          <w:szCs w:val="32"/>
          <w:lang w:eastAsia="zh-CN"/>
        </w:rPr>
        <w:drawing>
          <wp:inline distT="0" distB="0" distL="114300" distR="114300">
            <wp:extent cx="5080000" cy="2206625"/>
            <wp:effectExtent l="4445" t="4445" r="20955" b="1778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
      <w:pPr>
        <w:spacing w:line="600" w:lineRule="exact"/>
        <w:ind w:firstLine="640"/>
        <w:rPr>
          <w:rFonts w:ascii="仿宋_GB2312" w:eastAsia="仿宋_GB2312"/>
          <w:b/>
          <w:sz w:val="32"/>
          <w:szCs w:val="32"/>
        </w:rPr>
      </w:pPr>
      <w:bookmarkStart w:id="59" w:name="_Toc15377218"/>
      <w:bookmarkStart w:id="60" w:name="_Toc15396610"/>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Cs/>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人。因公出国（境）支出决算比2022年</w:t>
      </w:r>
      <w:r>
        <w:rPr>
          <w:rFonts w:hint="eastAsia" w:ascii="仿宋_GB2312" w:eastAsia="仿宋_GB2312"/>
          <w:sz w:val="32"/>
          <w:szCs w:val="32"/>
          <w:lang w:eastAsia="zh-CN"/>
        </w:rPr>
        <w:t>度</w:t>
      </w:r>
      <w:r>
        <w:rPr>
          <w:rFonts w:hint="eastAsia" w:ascii="仿宋_GB2312" w:eastAsia="仿宋_GB2312"/>
          <w:sz w:val="32"/>
          <w:szCs w:val="32"/>
        </w:rPr>
        <w:t>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未安排因公出境</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sz w:val="32"/>
          <w:szCs w:val="32"/>
        </w:rPr>
        <w:t>开支内容包括：</w:t>
      </w:r>
      <w:r>
        <w:rPr>
          <w:rFonts w:hint="eastAsia" w:ascii="仿宋_GB2312" w:eastAsia="仿宋_GB2312"/>
          <w:sz w:val="32"/>
          <w:szCs w:val="32"/>
          <w:lang w:eastAsia="zh-CN"/>
        </w:rPr>
        <w:t>无</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Cs/>
          <w:sz w:val="32"/>
          <w:szCs w:val="32"/>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公务用车运维费由区机关事务中心统一支付</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eastAsia="zh-CN"/>
        </w:rPr>
        <w:t>：无</w:t>
      </w: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hint="eastAsia" w:ascii="仿宋_GB2312" w:eastAsia="仿宋_GB2312"/>
          <w:sz w:val="32"/>
          <w:szCs w:val="32"/>
          <w:lang w:eastAsia="zh-CN"/>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万元。主要用于</w:t>
      </w:r>
      <w:r>
        <w:rPr>
          <w:rFonts w:hint="eastAsia" w:ascii="仿宋_GB2312" w:eastAsia="仿宋_GB2312"/>
          <w:sz w:val="32"/>
          <w:szCs w:val="32"/>
          <w:lang w:eastAsia="zh-CN"/>
        </w:rPr>
        <w:t>：无</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3.1</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 w:val="0"/>
          <w:bCs/>
          <w:sz w:val="32"/>
          <w:szCs w:val="32"/>
        </w:rPr>
        <w:t>100%</w:t>
      </w:r>
      <w:r>
        <w:rPr>
          <w:rStyle w:val="17"/>
          <w:rFonts w:hint="eastAsia" w:ascii="仿宋" w:hAnsi="仿宋" w:eastAsia="仿宋"/>
          <w:b w:val="0"/>
          <w:bCs/>
          <w:sz w:val="32"/>
          <w:szCs w:val="32"/>
        </w:rPr>
        <w:t>。</w:t>
      </w:r>
      <w:r>
        <w:rPr>
          <w:rFonts w:hint="eastAsia" w:ascii="仿宋_GB2312" w:eastAsia="仿宋_GB2312"/>
          <w:sz w:val="32"/>
          <w:szCs w:val="32"/>
        </w:rPr>
        <w:t>公务接待费支出决算比2022年度增加</w:t>
      </w:r>
      <w:r>
        <w:rPr>
          <w:rFonts w:hint="eastAsia" w:ascii="仿宋_GB2312" w:eastAsia="仿宋_GB2312"/>
          <w:sz w:val="32"/>
          <w:szCs w:val="32"/>
          <w:lang w:val="en-US" w:eastAsia="zh-CN"/>
        </w:rPr>
        <w:t>2.33</w:t>
      </w:r>
      <w:r>
        <w:rPr>
          <w:rFonts w:hint="eastAsia" w:ascii="仿宋_GB2312" w:eastAsia="仿宋_GB2312"/>
          <w:sz w:val="32"/>
          <w:szCs w:val="32"/>
        </w:rPr>
        <w:t>万元，增长</w:t>
      </w:r>
      <w:r>
        <w:rPr>
          <w:rFonts w:hint="eastAsia" w:ascii="仿宋_GB2312" w:eastAsia="仿宋_GB2312"/>
          <w:sz w:val="32"/>
          <w:szCs w:val="32"/>
          <w:lang w:val="en-US" w:eastAsia="zh-CN"/>
        </w:rPr>
        <w:t>302.59</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2022年产生的部分公务接待费由于商家送票不及时，2023年才予以支付，此外2023年接待人数较2022年有所增长导致2023年接待费较多</w:t>
      </w:r>
      <w:r>
        <w:rPr>
          <w:rFonts w:hint="eastAsia" w:ascii="仿宋_GB2312" w:eastAsia="仿宋_GB2312"/>
          <w:sz w:val="32"/>
          <w:szCs w:val="32"/>
        </w:rPr>
        <w:t>。其中：</w:t>
      </w:r>
    </w:p>
    <w:p>
      <w:pPr>
        <w:spacing w:line="600" w:lineRule="exact"/>
        <w:ind w:firstLine="640"/>
        <w:rPr>
          <w:rFonts w:ascii="仿宋_GB2312" w:eastAsia="仿宋_GB2312"/>
          <w:color w:val="C00000"/>
          <w:sz w:val="32"/>
          <w:szCs w:val="32"/>
        </w:rPr>
      </w:pPr>
      <w:r>
        <w:rPr>
          <w:rFonts w:hint="eastAsia" w:ascii="仿宋" w:hAnsi="仿宋" w:eastAsia="仿宋"/>
          <w:b/>
          <w:sz w:val="32"/>
          <w:szCs w:val="32"/>
        </w:rPr>
        <w:t>国内公务接待支出</w:t>
      </w:r>
      <w:r>
        <w:rPr>
          <w:rFonts w:ascii="仿宋" w:hAnsi="仿宋" w:eastAsia="仿宋"/>
          <w:b/>
          <w:sz w:val="32"/>
          <w:szCs w:val="32"/>
        </w:rPr>
        <w:t>3.1</w:t>
      </w:r>
      <w:r>
        <w:rPr>
          <w:rFonts w:hint="eastAsia" w:ascii="仿宋_GB2312" w:eastAsia="仿宋_GB2312"/>
          <w:sz w:val="32"/>
          <w:szCs w:val="32"/>
        </w:rPr>
        <w:t>万元，主要用于执行公务、开展业务活动开支的交通费、住宿费、用餐费等。国内公务接待</w:t>
      </w:r>
      <w:r>
        <w:rPr>
          <w:rFonts w:hint="eastAsia" w:ascii="仿宋_GB2312" w:eastAsia="仿宋_GB2312"/>
          <w:sz w:val="32"/>
          <w:szCs w:val="32"/>
          <w:lang w:val="en-US" w:eastAsia="zh-CN"/>
        </w:rPr>
        <w:t>20</w:t>
      </w:r>
      <w:r>
        <w:rPr>
          <w:rFonts w:hint="eastAsia" w:ascii="仿宋_GB2312" w:eastAsia="仿宋_GB2312"/>
          <w:sz w:val="32"/>
          <w:szCs w:val="32"/>
        </w:rPr>
        <w:t>批次，</w:t>
      </w:r>
      <w:r>
        <w:rPr>
          <w:rFonts w:hint="eastAsia" w:ascii="仿宋_GB2312" w:eastAsia="仿宋_GB2312"/>
          <w:sz w:val="32"/>
          <w:szCs w:val="32"/>
          <w:lang w:val="en-US" w:eastAsia="zh-CN"/>
        </w:rPr>
        <w:t>600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3.1</w:t>
      </w:r>
      <w:r>
        <w:rPr>
          <w:rFonts w:hint="eastAsia" w:ascii="仿宋_GB2312" w:eastAsia="仿宋_GB2312"/>
          <w:sz w:val="32"/>
          <w:szCs w:val="32"/>
        </w:rPr>
        <w:t>万元，</w:t>
      </w:r>
      <w:r>
        <w:rPr>
          <w:rFonts w:hint="eastAsia" w:ascii="仿宋_GB2312" w:eastAsia="仿宋_GB2312"/>
          <w:color w:val="auto"/>
          <w:sz w:val="32"/>
          <w:szCs w:val="32"/>
        </w:rPr>
        <w:t>具体内容包括：</w:t>
      </w:r>
      <w:r>
        <w:rPr>
          <w:rFonts w:hint="eastAsia" w:ascii="仿宋_GB2312" w:eastAsia="仿宋_GB2312"/>
          <w:color w:val="auto"/>
          <w:sz w:val="32"/>
          <w:szCs w:val="32"/>
          <w:lang w:val="en-US" w:eastAsia="zh-CN"/>
        </w:rPr>
        <w:t>2022年7月29日区委常委会会议服务费1508元；2022年8月12日研究金口河区鑫河系公司破产重整会议服务费3345元；2022年8月25日接待四川锦弘集团赴乐座谈会7075元；2023年3月6日接待北京浩翔、中国电建赴金口河考察1400元；2023年5月23日接待绍兴市上虞区化妆品包装行业协会2600元等</w:t>
      </w:r>
      <w:r>
        <w:rPr>
          <w:rFonts w:hint="eastAsia" w:ascii="仿宋_GB2312" w:eastAsia="仿宋_GB2312"/>
          <w:color w:val="auto"/>
          <w:sz w:val="32"/>
          <w:szCs w:val="32"/>
        </w:rPr>
        <w:t>。</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万元，主要用于接待</w:t>
      </w:r>
      <w:r>
        <w:rPr>
          <w:rFonts w:hint="eastAsia" w:ascii="仿宋_GB2312" w:eastAsia="仿宋_GB2312"/>
          <w:sz w:val="32"/>
          <w:szCs w:val="32"/>
          <w:lang w:eastAsia="zh-CN"/>
        </w:rPr>
        <w:t>：无</w:t>
      </w:r>
      <w:r>
        <w:rPr>
          <w:rFonts w:hint="eastAsia" w:ascii="仿宋_GB2312" w:eastAsia="仿宋_GB2312"/>
          <w:sz w:val="32"/>
          <w:szCs w:val="32"/>
        </w:rPr>
        <w:t>。外事接待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59"/>
      <w:bookmarkEnd w:id="60"/>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9"/>
          <w:rFonts w:ascii="黑体" w:hAnsi="黑体" w:eastAsia="黑体"/>
          <w:b w:val="0"/>
        </w:rPr>
      </w:pPr>
      <w:bookmarkStart w:id="61" w:name="_Toc15377219"/>
      <w:bookmarkStart w:id="62" w:name="_Toc15396611"/>
      <w:r>
        <w:rPr>
          <w:rStyle w:val="29"/>
          <w:rFonts w:hint="eastAsia" w:ascii="黑体" w:hAnsi="黑体" w:eastAsia="黑体"/>
          <w:b w:val="0"/>
        </w:rPr>
        <w:t>国有资本经营预算支出决算情况说明</w:t>
      </w:r>
      <w:bookmarkEnd w:id="61"/>
      <w:bookmarkEnd w:id="62"/>
    </w:p>
    <w:p>
      <w:pPr>
        <w:spacing w:line="600" w:lineRule="exact"/>
        <w:ind w:firstLine="640"/>
        <w:rPr>
          <w:rFonts w:ascii="方正小标宋简体" w:hAnsi="方正小标宋简体" w:eastAsia="方正小标宋简体" w:cs="方正小标宋简体"/>
          <w:sz w:val="44"/>
          <w:szCs w:val="44"/>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9"/>
          <w:rFonts w:ascii="黑体" w:hAnsi="黑体" w:eastAsia="黑体"/>
          <w:b w:val="0"/>
        </w:rPr>
      </w:pPr>
      <w:bookmarkStart w:id="63" w:name="_Toc15396612"/>
      <w:bookmarkStart w:id="64" w:name="_Toc15377221"/>
      <w:r>
        <w:rPr>
          <w:rStyle w:val="29"/>
          <w:rFonts w:hint="eastAsia" w:ascii="黑体" w:hAnsi="黑体" w:eastAsia="黑体"/>
          <w:b w:val="0"/>
        </w:rPr>
        <w:t>其他重要事项的情况说明</w:t>
      </w:r>
      <w:bookmarkEnd w:id="63"/>
      <w:bookmarkEnd w:id="64"/>
    </w:p>
    <w:p>
      <w:pPr>
        <w:spacing w:line="600" w:lineRule="exact"/>
        <w:ind w:firstLine="643" w:firstLineChars="200"/>
        <w:outlineLvl w:val="2"/>
        <w:rPr>
          <w:rFonts w:ascii="仿宋" w:hAnsi="仿宋" w:eastAsia="仿宋"/>
          <w:sz w:val="32"/>
          <w:szCs w:val="32"/>
        </w:rPr>
      </w:pPr>
      <w:bookmarkStart w:id="65" w:name="_Toc15377222"/>
      <w:r>
        <w:rPr>
          <w:rFonts w:hint="eastAsia" w:ascii="仿宋" w:hAnsi="仿宋" w:eastAsia="仿宋"/>
          <w:b/>
          <w:sz w:val="32"/>
          <w:szCs w:val="32"/>
        </w:rPr>
        <w:t>（一）机关运行经费支出情况</w:t>
      </w:r>
      <w:bookmarkEnd w:id="65"/>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乐山市金口河区驻乐山事务服务中心</w:t>
      </w:r>
      <w:r>
        <w:rPr>
          <w:rFonts w:hint="eastAsia" w:ascii="仿宋_GB2312" w:eastAsia="仿宋_GB2312"/>
          <w:sz w:val="32"/>
          <w:szCs w:val="32"/>
        </w:rPr>
        <w:t>机关运行经费支出</w:t>
      </w:r>
      <w:r>
        <w:rPr>
          <w:rFonts w:ascii="仿宋" w:hAnsi="仿宋" w:eastAsia="仿宋"/>
          <w:b/>
          <w:sz w:val="32"/>
          <w:szCs w:val="32"/>
        </w:rPr>
        <w:t>0</w:t>
      </w:r>
      <w:r>
        <w:rPr>
          <w:rFonts w:hint="eastAsia" w:ascii="仿宋_GB2312" w:eastAsia="仿宋_GB2312"/>
          <w:sz w:val="32"/>
          <w:szCs w:val="32"/>
        </w:rPr>
        <w:t>万元，比2022年度增加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（或与2022年度决算数持平）。主要原因是</w:t>
      </w:r>
      <w:r>
        <w:rPr>
          <w:rFonts w:hint="eastAsia" w:ascii="仿宋_GB2312" w:eastAsia="仿宋_GB2312"/>
          <w:sz w:val="32"/>
          <w:szCs w:val="32"/>
          <w:lang w:eastAsia="zh-CN"/>
        </w:rPr>
        <w:t>驻乐事务服务中心为非参公事业单位</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6" w:name="_Toc15377223"/>
      <w:r>
        <w:rPr>
          <w:rFonts w:hint="eastAsia" w:ascii="仿宋" w:hAnsi="仿宋" w:eastAsia="仿宋"/>
          <w:b/>
          <w:sz w:val="32"/>
          <w:szCs w:val="32"/>
        </w:rPr>
        <w:t>（二）政府采购支出情况</w:t>
      </w:r>
      <w:bookmarkEnd w:id="66"/>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乐山市金口河区驻乐山事务服务中心</w:t>
      </w:r>
      <w:r>
        <w:rPr>
          <w:rFonts w:hint="eastAsia" w:ascii="仿宋_GB2312" w:eastAsia="仿宋_GB2312"/>
          <w:sz w:val="32"/>
          <w:szCs w:val="32"/>
        </w:rPr>
        <w:t>政府采购支出总额</w:t>
      </w:r>
      <w:r>
        <w:rPr>
          <w:rFonts w:ascii="仿宋" w:hAnsi="仿宋" w:eastAsia="仿宋"/>
          <w:b/>
          <w:sz w:val="32"/>
          <w:szCs w:val="32"/>
        </w:rPr>
        <w:t>0</w:t>
      </w:r>
      <w:r>
        <w:rPr>
          <w:rFonts w:hint="eastAsia" w:ascii="仿宋_GB2312" w:eastAsia="仿宋_GB2312"/>
          <w:sz w:val="32"/>
          <w:szCs w:val="32"/>
        </w:rPr>
        <w:t>万元，其中：政府采购货物支出</w:t>
      </w:r>
      <w:r>
        <w:rPr>
          <w:rFonts w:ascii="仿宋" w:hAnsi="仿宋" w:eastAsia="仿宋"/>
          <w:b/>
          <w:sz w:val="32"/>
          <w:szCs w:val="32"/>
        </w:rPr>
        <w:t>0</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万元。主要用于</w:t>
      </w:r>
      <w:r>
        <w:rPr>
          <w:rFonts w:hint="eastAsia" w:ascii="仿宋_GB2312" w:eastAsia="仿宋_GB2312"/>
          <w:sz w:val="32"/>
          <w:szCs w:val="32"/>
          <w:lang w:eastAsia="zh-CN"/>
        </w:rPr>
        <w:t>：无</w:t>
      </w:r>
      <w:r>
        <w:rPr>
          <w:rFonts w:hint="eastAsia" w:ascii="仿宋_GB2312" w:eastAsia="仿宋_GB2312"/>
          <w:sz w:val="32"/>
          <w:szCs w:val="32"/>
        </w:rPr>
        <w:t>（具体工作）。授予中小企业合同金额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7" w:name="_Toc15377224"/>
      <w:r>
        <w:rPr>
          <w:rFonts w:hint="eastAsia" w:ascii="仿宋" w:hAnsi="仿宋" w:eastAsia="仿宋"/>
          <w:b/>
          <w:sz w:val="32"/>
          <w:szCs w:val="32"/>
        </w:rPr>
        <w:t>（三）国有资产占有使用情况</w:t>
      </w:r>
      <w:bookmarkEnd w:id="67"/>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乐山市金口河区驻乐山事务服务中心</w:t>
      </w:r>
      <w:r>
        <w:rPr>
          <w:rFonts w:hint="eastAsia" w:ascii="仿宋_GB2312" w:eastAsia="仿宋_GB2312"/>
          <w:sz w:val="32"/>
          <w:szCs w:val="32"/>
        </w:rPr>
        <w:t>共有车辆</w:t>
      </w:r>
      <w:r>
        <w:rPr>
          <w:rFonts w:hint="eastAsia" w:ascii="仿宋_GB2312" w:eastAsia="仿宋_GB2312"/>
          <w:b/>
          <w:sz w:val="32"/>
          <w:szCs w:val="32"/>
        </w:rPr>
        <w:t>1</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1</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辆，其他用车主要是用于</w:t>
      </w:r>
      <w:r>
        <w:rPr>
          <w:rFonts w:hint="eastAsia" w:ascii="仿宋_GB2312" w:eastAsia="仿宋_GB2312"/>
          <w:sz w:val="32"/>
          <w:szCs w:val="32"/>
          <w:lang w:eastAsia="zh-CN"/>
        </w:rPr>
        <w:t>：无</w:t>
      </w:r>
      <w:r>
        <w:rPr>
          <w:rFonts w:hint="eastAsia" w:ascii="仿宋_GB2312" w:eastAsia="仿宋_GB2312"/>
          <w:sz w:val="32"/>
          <w:szCs w:val="32"/>
        </w:rPr>
        <w:t>。</w:t>
      </w:r>
      <w:r>
        <w:rPr>
          <w:rFonts w:hint="eastAsia" w:ascii="仿宋_GB2312" w:eastAsia="仿宋_GB2312"/>
          <w:sz w:val="32"/>
          <w:szCs w:val="32"/>
          <w:lang w:eastAsia="zh-CN"/>
        </w:rPr>
        <w:t>单价</w:t>
      </w:r>
      <w:r>
        <w:rPr>
          <w:rFonts w:hint="eastAsia" w:ascii="仿宋_GB2312" w:eastAsia="仿宋_GB2312"/>
          <w:sz w:val="32"/>
          <w:szCs w:val="32"/>
          <w:lang w:val="en-US" w:eastAsia="zh-CN"/>
        </w:rPr>
        <w:t>50万元以上通用设备0台（套），</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w:t>
      </w:r>
      <w:r>
        <w:rPr>
          <w:rFonts w:hint="eastAsia" w:ascii="仿宋_GB2312" w:eastAsia="仿宋_GB2312"/>
          <w:sz w:val="32"/>
          <w:szCs w:val="32"/>
          <w:lang w:eastAsia="zh-CN"/>
        </w:rPr>
        <w:t>专用</w:t>
      </w:r>
      <w:r>
        <w:rPr>
          <w:rFonts w:hint="eastAsia" w:ascii="仿宋_GB2312" w:eastAsia="仿宋_GB2312"/>
          <w:sz w:val="32"/>
          <w:szCs w:val="32"/>
        </w:rPr>
        <w:t>设备（不含车辆）</w:t>
      </w:r>
      <w:r>
        <w:rPr>
          <w:rFonts w:ascii="仿宋_GB2312" w:eastAsia="仿宋_GB2312"/>
          <w:b/>
          <w:sz w:val="32"/>
          <w:szCs w:val="32"/>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表，按单位决算报表填报数据罗列车辆情况。）</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bookmarkEnd w:id="29"/>
    <w:p>
      <w:pPr>
        <w:spacing w:line="600" w:lineRule="exact"/>
        <w:ind w:firstLine="640" w:firstLineChars="200"/>
        <w:rPr>
          <w:rFonts w:ascii="仿宋_GB2312" w:eastAsia="仿宋_GB2312"/>
          <w:sz w:val="32"/>
          <w:szCs w:val="32"/>
        </w:rPr>
      </w:pPr>
      <w:r>
        <w:rPr>
          <w:rFonts w:hint="eastAsia" w:ascii="仿宋_GB2312" w:eastAsia="仿宋_GB2312"/>
          <w:sz w:val="32"/>
          <w:szCs w:val="32"/>
        </w:rPr>
        <w:t>根据预算绩效管理要求，本单位在2023年度预算编制阶段，组织对</w:t>
      </w:r>
      <w:bookmarkStart w:id="68" w:name="OLE_LINK8"/>
      <w:r>
        <w:rPr>
          <w:rFonts w:hint="eastAsia" w:ascii="仿宋_GB2312" w:eastAsia="仿宋_GB2312"/>
          <w:sz w:val="32"/>
          <w:szCs w:val="32"/>
        </w:rPr>
        <w:t>驻乐办运行费</w:t>
      </w:r>
      <w:r>
        <w:rPr>
          <w:rFonts w:hint="eastAsia" w:ascii="仿宋_GB2312" w:eastAsia="仿宋_GB2312"/>
          <w:sz w:val="32"/>
          <w:szCs w:val="32"/>
          <w:lang w:eastAsia="zh-CN"/>
        </w:rPr>
        <w:t>、接待工作经费、临工费</w:t>
      </w:r>
      <w:bookmarkEnd w:id="68"/>
      <w:r>
        <w:rPr>
          <w:rFonts w:hint="eastAsia" w:ascii="仿宋_GB2312" w:eastAsia="仿宋_GB2312"/>
          <w:sz w:val="32"/>
          <w:szCs w:val="32"/>
          <w:lang w:val="en-US" w:eastAsia="zh-CN"/>
        </w:rPr>
        <w:t>3</w:t>
      </w:r>
      <w:r>
        <w:rPr>
          <w:rFonts w:hint="eastAsia" w:ascii="仿宋_GB2312" w:eastAsia="仿宋_GB2312"/>
          <w:sz w:val="32"/>
          <w:szCs w:val="32"/>
        </w:rPr>
        <w:t>个项目开展了预算事前绩效评估，对</w:t>
      </w:r>
      <w:r>
        <w:rPr>
          <w:rFonts w:hint="eastAsia" w:ascii="仿宋_GB2312" w:eastAsia="仿宋_GB2312"/>
          <w:sz w:val="32"/>
          <w:szCs w:val="32"/>
          <w:lang w:val="en-US" w:eastAsia="zh-CN"/>
        </w:rPr>
        <w:t>3</w:t>
      </w:r>
      <w:r>
        <w:rPr>
          <w:rFonts w:hint="eastAsia" w:ascii="仿宋_GB2312" w:eastAsia="仿宋_GB2312"/>
          <w:sz w:val="32"/>
          <w:szCs w:val="32"/>
        </w:rPr>
        <w:t>个项目编制了绩效目标，预算执行过程中，选取</w:t>
      </w:r>
      <w:r>
        <w:rPr>
          <w:rFonts w:hint="eastAsia" w:ascii="仿宋_GB2312" w:eastAsia="仿宋_GB2312"/>
          <w:sz w:val="32"/>
          <w:szCs w:val="32"/>
          <w:lang w:val="en-US" w:eastAsia="zh-CN"/>
        </w:rPr>
        <w:t>3</w:t>
      </w:r>
      <w:r>
        <w:rPr>
          <w:rFonts w:hint="eastAsia" w:ascii="仿宋_GB2312" w:eastAsia="仿宋_GB2312"/>
          <w:sz w:val="32"/>
          <w:szCs w:val="32"/>
        </w:rPr>
        <w:t>个项目开展绩效监控，组织对</w:t>
      </w:r>
      <w:r>
        <w:rPr>
          <w:rFonts w:hint="eastAsia" w:ascii="仿宋_GB2312" w:eastAsia="仿宋_GB2312"/>
          <w:sz w:val="32"/>
          <w:szCs w:val="32"/>
          <w:lang w:val="en-US" w:eastAsia="zh-CN"/>
        </w:rPr>
        <w:t>3</w:t>
      </w:r>
      <w:r>
        <w:rPr>
          <w:rFonts w:hint="eastAsia" w:ascii="仿宋_GB2312" w:eastAsia="仿宋_GB2312"/>
          <w:sz w:val="32"/>
          <w:szCs w:val="32"/>
        </w:rPr>
        <w:t>个项目开展绩效自评，绩效自评表详见第四部分附件。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numPr>
          <w:ilvl w:val="0"/>
          <w:numId w:val="4"/>
        </w:numPr>
        <w:spacing w:line="600" w:lineRule="exact"/>
        <w:ind w:firstLine="660" w:firstLineChars="150"/>
        <w:jc w:val="center"/>
        <w:outlineLvl w:val="0"/>
        <w:rPr>
          <w:rStyle w:val="28"/>
          <w:rFonts w:ascii="黑体" w:hAnsi="黑体" w:eastAsia="黑体"/>
          <w:b w:val="0"/>
        </w:rPr>
      </w:pPr>
      <w:bookmarkStart w:id="69" w:name="_Toc15396613"/>
      <w:bookmarkStart w:id="70" w:name="_Toc15377225"/>
      <w:r>
        <w:rPr>
          <w:rFonts w:hint="eastAsia" w:ascii="黑体" w:hAnsi="黑体" w:eastAsia="黑体"/>
          <w:sz w:val="44"/>
          <w:szCs w:val="44"/>
        </w:rPr>
        <w:t>名</w:t>
      </w:r>
      <w:r>
        <w:rPr>
          <w:rStyle w:val="28"/>
          <w:rFonts w:hint="eastAsia" w:ascii="黑体" w:hAnsi="黑体" w:eastAsia="黑体"/>
          <w:b w:val="0"/>
        </w:rPr>
        <w:t>词解释</w:t>
      </w:r>
      <w:bookmarkEnd w:id="69"/>
      <w:bookmarkEnd w:id="70"/>
    </w:p>
    <w:p>
      <w:pPr>
        <w:spacing w:line="600" w:lineRule="exact"/>
        <w:jc w:val="left"/>
        <w:rPr>
          <w:rFonts w:ascii="宋体"/>
          <w:b/>
          <w:sz w:val="44"/>
          <w:szCs w:val="44"/>
        </w:rPr>
      </w:pPr>
    </w:p>
    <w:p>
      <w:pPr>
        <w:pStyle w:val="26"/>
        <w:spacing w:line="560" w:lineRule="exact"/>
        <w:ind w:firstLine="640" w:firstLineChars="200"/>
        <w:rPr>
          <w:rFonts w:ascii="仿宋_GB2312" w:eastAsia="仿宋_GB2312"/>
          <w:color w:val="auto"/>
          <w:sz w:val="32"/>
          <w:szCs w:val="32"/>
        </w:rPr>
      </w:pPr>
      <w:bookmarkStart w:id="71" w:name="OLE_LINK30"/>
      <w:bookmarkStart w:id="72" w:name="OLE_LINK12"/>
      <w:bookmarkStart w:id="73" w:name="_Toc15377226"/>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其他收入：指单位取得的除上述收入以外的各项收入。主要是银行利息等。</w:t>
      </w:r>
      <w:r>
        <w:rPr>
          <w:rFonts w:ascii="仿宋_GB2312" w:eastAsia="仿宋_GB2312"/>
          <w:color w:val="auto"/>
          <w:sz w:val="32"/>
          <w:szCs w:val="32"/>
        </w:rPr>
        <w:t xml:space="preserve"> </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hint="eastAsia" w:ascii="仿宋_GB2312" w:eastAsia="仿宋_GB2312"/>
          <w:color w:val="000000"/>
          <w:sz w:val="32"/>
          <w:szCs w:val="32"/>
          <w:lang w:eastAsia="zh-CN"/>
        </w:rPr>
      </w:pPr>
      <w:r>
        <w:rPr>
          <w:rFonts w:hint="eastAsia" w:ascii="仿宋_GB2312" w:eastAsia="仿宋_GB2312"/>
          <w:sz w:val="32"/>
          <w:szCs w:val="32"/>
          <w:lang w:val="en-US" w:eastAsia="zh-CN"/>
        </w:rPr>
        <w:t>5</w:t>
      </w:r>
      <w:r>
        <w:rPr>
          <w:rFonts w:ascii="仿宋_GB2312" w:eastAsia="仿宋_GB2312"/>
          <w:sz w:val="32"/>
          <w:szCs w:val="32"/>
        </w:rPr>
        <w:t>.</w:t>
      </w:r>
      <w:r>
        <w:rPr>
          <w:rFonts w:hint="eastAsia" w:ascii="仿宋_GB2312" w:eastAsia="仿宋_GB2312"/>
          <w:sz w:val="32"/>
          <w:szCs w:val="32"/>
        </w:rPr>
        <w:t>一</w:t>
      </w:r>
      <w:r>
        <w:rPr>
          <w:rFonts w:hint="eastAsia" w:ascii="仿宋_GB2312" w:eastAsia="仿宋_GB2312"/>
          <w:color w:val="auto"/>
          <w:sz w:val="32"/>
          <w:szCs w:val="32"/>
        </w:rPr>
        <w:t>般公共服务（类）政府办公厅（室）及相关机构事务</w:t>
      </w:r>
      <w:r>
        <w:rPr>
          <w:rFonts w:hint="eastAsia" w:ascii="仿宋_GB2312" w:eastAsia="仿宋_GB2312"/>
          <w:color w:val="000000"/>
          <w:sz w:val="32"/>
          <w:szCs w:val="32"/>
        </w:rPr>
        <w:t>（款）</w:t>
      </w:r>
      <w:r>
        <w:rPr>
          <w:rFonts w:hint="eastAsia" w:ascii="仿宋_GB2312" w:eastAsia="仿宋_GB2312"/>
          <w:color w:val="auto"/>
          <w:sz w:val="32"/>
          <w:szCs w:val="32"/>
          <w:lang w:val="en-US" w:eastAsia="zh-CN"/>
        </w:rPr>
        <w:t>机关服务</w:t>
      </w:r>
      <w:r>
        <w:rPr>
          <w:rFonts w:hint="eastAsia" w:ascii="仿宋_GB2312" w:eastAsia="仿宋_GB2312"/>
          <w:color w:val="000000"/>
          <w:sz w:val="32"/>
          <w:szCs w:val="32"/>
        </w:rPr>
        <w:t>（项）</w:t>
      </w:r>
      <w:r>
        <w:rPr>
          <w:rFonts w:hint="eastAsia" w:ascii="仿宋_GB2312" w:eastAsia="仿宋_GB2312"/>
          <w:color w:val="auto"/>
          <w:sz w:val="32"/>
          <w:szCs w:val="32"/>
        </w:rPr>
        <w:t>：反映</w:t>
      </w:r>
      <w:r>
        <w:rPr>
          <w:rFonts w:hint="eastAsia" w:ascii="仿宋_GB2312" w:eastAsia="仿宋_GB2312"/>
          <w:color w:val="000000"/>
          <w:sz w:val="32"/>
          <w:szCs w:val="32"/>
        </w:rPr>
        <w:t>指反映行政单位（包括实行公务员管理的事业单位）</w:t>
      </w:r>
      <w:r>
        <w:rPr>
          <w:rFonts w:hint="eastAsia" w:ascii="仿宋_GB2312" w:eastAsia="仿宋_GB2312"/>
          <w:color w:val="000000"/>
          <w:sz w:val="32"/>
          <w:szCs w:val="32"/>
          <w:lang w:eastAsia="zh-CN"/>
        </w:rPr>
        <w:t>的各类后勤服务中心、医务室等附属事业单位的支出。</w:t>
      </w:r>
    </w:p>
    <w:p>
      <w:pPr>
        <w:ind w:firstLine="640" w:firstLineChars="200"/>
        <w:rPr>
          <w:rFonts w:ascii="仿宋_GB2312" w:eastAsia="仿宋_GB2312"/>
          <w:color w:val="000000"/>
          <w:sz w:val="32"/>
          <w:szCs w:val="32"/>
        </w:rPr>
      </w:pPr>
      <w:r>
        <w:rPr>
          <w:rFonts w:hint="eastAsia" w:ascii="仿宋_GB2312" w:eastAsia="仿宋_GB2312"/>
          <w:sz w:val="32"/>
          <w:szCs w:val="32"/>
          <w:lang w:val="en-US" w:eastAsia="zh-CN"/>
        </w:rPr>
        <w:t>6</w:t>
      </w:r>
      <w:r>
        <w:rPr>
          <w:rFonts w:ascii="仿宋_GB2312" w:eastAsia="仿宋_GB2312"/>
          <w:sz w:val="32"/>
          <w:szCs w:val="32"/>
        </w:rPr>
        <w:t>.</w:t>
      </w:r>
      <w:r>
        <w:rPr>
          <w:rFonts w:hint="eastAsia" w:ascii="仿宋_GB2312" w:eastAsia="仿宋_GB2312"/>
          <w:sz w:val="32"/>
          <w:szCs w:val="32"/>
        </w:rPr>
        <w:t>社会保障和就业（类）</w:t>
      </w:r>
      <w:r>
        <w:rPr>
          <w:rFonts w:hint="eastAsia" w:ascii="仿宋_GB2312" w:eastAsia="仿宋_GB2312"/>
          <w:color w:val="000000"/>
          <w:sz w:val="32"/>
          <w:szCs w:val="32"/>
        </w:rPr>
        <w:t>行政事业单位养老支出（款）机关事业单位基本养老保险缴费（项）：指机关事业单位实施养老保险制度由单位缴纳的基本养老保险费支出。</w:t>
      </w:r>
    </w:p>
    <w:p>
      <w:pPr>
        <w:ind w:firstLine="640" w:firstLineChars="200"/>
        <w:rPr>
          <w:rFonts w:hint="eastAsia" w:ascii="仿宋_GB2312" w:eastAsia="仿宋_GB2312"/>
          <w:color w:val="000000"/>
          <w:sz w:val="32"/>
          <w:szCs w:val="32"/>
        </w:rPr>
      </w:pPr>
      <w:bookmarkStart w:id="74" w:name="OLE_LINK14"/>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社会保障和就业（类）</w:t>
      </w:r>
      <w:bookmarkEnd w:id="74"/>
      <w:r>
        <w:rPr>
          <w:rFonts w:hint="eastAsia" w:ascii="仿宋_GB2312" w:eastAsia="仿宋_GB2312"/>
          <w:color w:val="000000"/>
          <w:sz w:val="32"/>
          <w:szCs w:val="32"/>
        </w:rPr>
        <w:t>行政事业单位养老支出（款）机关事业单位职业年金缴费（项）：指机关事业单位实施养老保险制度由单位实际缴纳的职业年金支出。</w:t>
      </w:r>
    </w:p>
    <w:p>
      <w:pPr>
        <w:pStyle w:val="2"/>
        <w:ind w:firstLine="640" w:firstLineChars="200"/>
        <w:jc w:val="left"/>
        <w:rPr>
          <w:rFonts w:hint="eastAsia" w:ascii="仿宋_GB2312" w:hAnsi="Times New Roman" w:eastAsia="仿宋_GB2312" w:cs="Times New Roman"/>
          <w:bCs w:val="0"/>
          <w:color w:val="000000"/>
          <w:kern w:val="2"/>
          <w:sz w:val="32"/>
          <w:szCs w:val="32"/>
          <w:lang w:val="en-US" w:eastAsia="zh-CN" w:bidi="ar-SA"/>
        </w:rPr>
      </w:pPr>
      <w:r>
        <w:rPr>
          <w:rFonts w:hint="eastAsia" w:ascii="仿宋_GB2312" w:hAnsi="Times New Roman" w:eastAsia="仿宋_GB2312" w:cs="Times New Roman"/>
          <w:bCs w:val="0"/>
          <w:color w:val="000000"/>
          <w:kern w:val="2"/>
          <w:sz w:val="32"/>
          <w:szCs w:val="32"/>
          <w:lang w:val="en-US" w:eastAsia="zh-CN" w:bidi="ar-SA"/>
        </w:rPr>
        <w:t>8.社会保障和就业（类）行政事业单位养老支出（款）其他行政事业单位养老支出（项）: 其他用于行政事业单位养老方面的支出。</w:t>
      </w:r>
    </w:p>
    <w:p>
      <w:pPr>
        <w:ind w:firstLine="640" w:firstLineChars="200"/>
        <w:rPr>
          <w:rFonts w:hint="eastAsia" w:eastAsia="仿宋_GB2312"/>
          <w:lang w:eastAsia="zh-CN"/>
        </w:rPr>
      </w:pP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社会保障和就业（类）</w:t>
      </w:r>
      <w:r>
        <w:rPr>
          <w:rFonts w:hint="eastAsia" w:ascii="仿宋_GB2312" w:eastAsia="仿宋_GB2312"/>
          <w:color w:val="000000"/>
          <w:sz w:val="32"/>
          <w:szCs w:val="32"/>
          <w:lang w:val="en-US" w:eastAsia="zh-CN"/>
        </w:rPr>
        <w:t>残疾人事业</w:t>
      </w:r>
      <w:r>
        <w:rPr>
          <w:rFonts w:hint="eastAsia" w:ascii="仿宋_GB2312" w:eastAsia="仿宋_GB2312"/>
          <w:color w:val="000000"/>
          <w:sz w:val="32"/>
          <w:szCs w:val="32"/>
        </w:rPr>
        <w:t>（款）</w:t>
      </w:r>
      <w:r>
        <w:rPr>
          <w:rFonts w:hint="eastAsia" w:ascii="仿宋_GB2312" w:eastAsia="仿宋_GB2312"/>
          <w:color w:val="000000"/>
          <w:sz w:val="32"/>
          <w:szCs w:val="32"/>
          <w:lang w:val="en-US" w:eastAsia="zh-CN"/>
        </w:rPr>
        <w:t>残疾人就业</w:t>
      </w:r>
      <w:r>
        <w:rPr>
          <w:rFonts w:hint="eastAsia" w:ascii="仿宋_GB2312" w:eastAsia="仿宋_GB2312"/>
          <w:color w:val="000000"/>
          <w:sz w:val="32"/>
          <w:szCs w:val="32"/>
        </w:rPr>
        <w:t>（项）：</w:t>
      </w:r>
      <w:r>
        <w:rPr>
          <w:rFonts w:hint="eastAsia" w:ascii="仿宋_GB2312" w:eastAsia="仿宋_GB2312"/>
          <w:color w:val="000000"/>
          <w:sz w:val="32"/>
          <w:szCs w:val="32"/>
          <w:lang w:eastAsia="zh-CN"/>
        </w:rPr>
        <w:t>指残疾人联合会用于残疾人就业方面的支出。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社会保障和就业（类）其他社会保障和就业支出（款）其他社会保障和就业支出（项）: 指其他用于社会保障和就业方面的支出。</w:t>
      </w:r>
    </w:p>
    <w:p>
      <w:pPr>
        <w:numPr>
          <w:ilvl w:val="0"/>
          <w:numId w:val="0"/>
        </w:numPr>
        <w:ind w:firstLine="640" w:firstLineChars="20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11.</w:t>
      </w:r>
      <w:r>
        <w:rPr>
          <w:rFonts w:hint="eastAsia" w:ascii="仿宋_GB2312" w:eastAsia="仿宋_GB2312"/>
          <w:color w:val="000000"/>
          <w:sz w:val="32"/>
          <w:szCs w:val="32"/>
        </w:rPr>
        <w:t>医疗卫生与计划生育（类）行政事业单位医疗（款）事业单位医疗（项）: 指财政部门</w:t>
      </w:r>
      <w:bookmarkStart w:id="90" w:name="_GoBack"/>
      <w:bookmarkEnd w:id="90"/>
      <w:r>
        <w:rPr>
          <w:rFonts w:hint="eastAsia" w:ascii="仿宋_GB2312" w:eastAsia="仿宋_GB2312"/>
          <w:color w:val="000000"/>
          <w:sz w:val="32"/>
          <w:szCs w:val="32"/>
        </w:rPr>
        <w:t>集中安排的事业单位基本医疗保险缴费经费，未参加医疗保险的事业单位的公费医疗经费，按国家规定享受离休人员待遇的医疗经费。</w:t>
      </w:r>
      <w:r>
        <w:rPr>
          <w:rFonts w:hint="eastAsia" w:ascii="仿宋_GB2312" w:eastAsia="仿宋_GB2312"/>
          <w:color w:val="000000"/>
          <w:sz w:val="32"/>
          <w:szCs w:val="32"/>
          <w:lang w:val="en-US" w:eastAsia="zh-CN"/>
        </w:rPr>
        <w:t xml:space="preserve">    </w:t>
      </w:r>
    </w:p>
    <w:p>
      <w:pPr>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12.</w:t>
      </w:r>
      <w:r>
        <w:rPr>
          <w:rFonts w:hint="eastAsia" w:ascii="仿宋_GB2312" w:eastAsia="仿宋_GB2312"/>
          <w:color w:val="000000"/>
          <w:sz w:val="32"/>
          <w:szCs w:val="32"/>
        </w:rPr>
        <w:t>医疗卫生与计划生育（类）行政事业单位医疗（款）</w:t>
      </w:r>
      <w:r>
        <w:rPr>
          <w:rFonts w:hint="eastAsia" w:ascii="仿宋_GB2312" w:eastAsia="仿宋_GB2312"/>
          <w:color w:val="000000"/>
          <w:sz w:val="32"/>
          <w:szCs w:val="32"/>
          <w:lang w:val="en-US" w:eastAsia="zh-CN"/>
        </w:rPr>
        <w:t>公务员医疗补助</w:t>
      </w:r>
      <w:r>
        <w:rPr>
          <w:rFonts w:hint="eastAsia" w:ascii="仿宋_GB2312" w:eastAsia="仿宋_GB2312"/>
          <w:color w:val="000000"/>
          <w:sz w:val="32"/>
          <w:szCs w:val="32"/>
        </w:rPr>
        <w:t>（项）: 指财政部门</w:t>
      </w:r>
      <w:r>
        <w:rPr>
          <w:rFonts w:hint="eastAsia" w:ascii="仿宋_GB2312" w:eastAsia="仿宋_GB2312"/>
          <w:color w:val="000000"/>
          <w:sz w:val="32"/>
          <w:szCs w:val="32"/>
          <w:lang w:eastAsia="zh-CN"/>
        </w:rPr>
        <w:t>安排的公务员医疗补助。</w:t>
      </w:r>
    </w:p>
    <w:p>
      <w:pPr>
        <w:ind w:firstLine="640" w:firstLineChars="200"/>
        <w:rPr>
          <w:rFonts w:ascii="仿宋_GB2312" w:eastAsia="仿宋_GB2312"/>
          <w:color w:val="000000"/>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住房保障（类）</w:t>
      </w:r>
      <w:r>
        <w:rPr>
          <w:rFonts w:hint="eastAsia" w:ascii="仿宋_GB2312" w:eastAsia="仿宋_GB2312"/>
          <w:color w:val="000000"/>
          <w:sz w:val="32"/>
          <w:szCs w:val="32"/>
        </w:rPr>
        <w:t>住房改革支出（款）住房公积金（项）: 指行政事业单位按人力资源和社会保障部、财政部规定的基本工资和津贴补贴以及规定比例为职工缴纳的住房公积金。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14</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15</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pStyle w:val="26"/>
        <w:spacing w:line="560" w:lineRule="exact"/>
        <w:ind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16</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17</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End w:id="71"/>
    </w:p>
    <w:bookmarkEnd w:id="72"/>
    <w:p>
      <w:pPr>
        <w:spacing w:line="600" w:lineRule="exact"/>
        <w:jc w:val="center"/>
        <w:outlineLvl w:val="0"/>
        <w:rPr>
          <w:rFonts w:ascii="仿宋_GB2312" w:hAnsi="仿宋_GB2312" w:eastAsia="仿宋_GB2312" w:cs="仿宋_GB2312"/>
          <w:sz w:val="32"/>
          <w:szCs w:val="32"/>
        </w:rPr>
      </w:pPr>
      <w:r>
        <w:rPr>
          <w:rFonts w:ascii="宋体"/>
          <w:b/>
          <w:sz w:val="44"/>
          <w:szCs w:val="44"/>
        </w:rPr>
        <w:br w:type="page"/>
      </w:r>
      <w:bookmarkStart w:id="75" w:name="_Toc15396614"/>
      <w:r>
        <w:rPr>
          <w:rFonts w:hint="eastAsia" w:ascii="黑体" w:hAnsi="黑体" w:eastAsia="黑体"/>
          <w:sz w:val="44"/>
          <w:szCs w:val="44"/>
        </w:rPr>
        <w:t>第</w:t>
      </w:r>
      <w:r>
        <w:rPr>
          <w:rStyle w:val="28"/>
          <w:rFonts w:hint="eastAsia" w:ascii="黑体" w:hAnsi="黑体" w:eastAsia="黑体"/>
          <w:b w:val="0"/>
        </w:rPr>
        <w:t>四部分 附件</w:t>
      </w:r>
      <w:bookmarkEnd w:id="75"/>
    </w:p>
    <w:p>
      <w:pPr>
        <w:spacing w:line="600" w:lineRule="exact"/>
        <w:jc w:val="center"/>
        <w:outlineLvl w:val="0"/>
        <w:rPr>
          <w:rFonts w:ascii="黑体" w:hAnsi="黑体" w:eastAsia="黑体"/>
          <w:color w:val="FF0000"/>
          <w:sz w:val="44"/>
          <w:szCs w:val="44"/>
        </w:rPr>
      </w:pPr>
      <w:bookmarkStart w:id="76" w:name="_Toc15396618"/>
      <w:r>
        <w:rPr>
          <w:rFonts w:hint="eastAsia"/>
          <w:sz w:val="32"/>
          <w:szCs w:val="32"/>
        </w:rPr>
        <w:t>部门预算项目支出绩效自评表（2023年度）</w:t>
      </w:r>
    </w:p>
    <w:tbl>
      <w:tblPr>
        <w:tblStyle w:val="15"/>
        <w:tblW w:w="87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60"/>
        <w:gridCol w:w="1125"/>
        <w:gridCol w:w="285"/>
        <w:gridCol w:w="1275"/>
        <w:gridCol w:w="1275"/>
        <w:gridCol w:w="1155"/>
        <w:gridCol w:w="1080"/>
        <w:gridCol w:w="690"/>
        <w:gridCol w:w="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6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临工费</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38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26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38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乐山市金口河区驻乐山事务服务中心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73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85"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2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6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9.36</w:t>
            </w:r>
          </w:p>
        </w:tc>
        <w:tc>
          <w:tcPr>
            <w:tcW w:w="2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9.36</w:t>
            </w:r>
          </w:p>
        </w:tc>
        <w:tc>
          <w:tcPr>
            <w:tcW w:w="26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9.36</w:t>
            </w:r>
          </w:p>
        </w:tc>
        <w:tc>
          <w:tcPr>
            <w:tcW w:w="2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9.36</w:t>
            </w:r>
          </w:p>
        </w:tc>
        <w:tc>
          <w:tcPr>
            <w:tcW w:w="26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396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8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960"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34"/>
                <w:lang w:val="en-US" w:eastAsia="zh-CN" w:bidi="ar"/>
              </w:rPr>
              <w:t>完成2023年自聘人员3人工资发放</w:t>
            </w:r>
          </w:p>
        </w:tc>
        <w:tc>
          <w:tcPr>
            <w:tcW w:w="38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完成3人工资发放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69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60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6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9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410"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发放临时工资</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3人</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3人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9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10"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9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10"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完成时限</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5"/>
                <w:lang w:val="en-US" w:eastAsia="zh-CN" w:bidi="ar"/>
              </w:rPr>
              <w:t>12个月</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5"/>
                <w:lang w:val="en-US" w:eastAsia="zh-CN" w:bidi="ar"/>
              </w:rPr>
              <w:t>12个月</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9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10"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临时工工资月标准</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2600元/人/月</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2600元/人/月</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9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410"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9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10"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9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10"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9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10"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9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410"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1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9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bl>
    <w:p>
      <w:pPr>
        <w:spacing w:line="600" w:lineRule="exact"/>
        <w:jc w:val="center"/>
        <w:outlineLvl w:val="0"/>
        <w:rPr>
          <w:rFonts w:hint="eastAsia"/>
          <w:sz w:val="32"/>
          <w:szCs w:val="32"/>
        </w:rPr>
      </w:pPr>
    </w:p>
    <w:p>
      <w:pPr>
        <w:spacing w:line="600" w:lineRule="exact"/>
        <w:jc w:val="center"/>
        <w:outlineLvl w:val="0"/>
        <w:rPr>
          <w:sz w:val="32"/>
        </w:rPr>
      </w:pPr>
      <w:r>
        <w:rPr>
          <w:rFonts w:hint="eastAsia"/>
          <w:sz w:val="32"/>
          <w:szCs w:val="32"/>
        </w:rPr>
        <w:t>部门预算项目支出绩效自评表（2023年度）</w:t>
      </w:r>
    </w:p>
    <w:tbl>
      <w:tblPr>
        <w:tblStyle w:val="15"/>
        <w:tblW w:w="85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45"/>
        <w:gridCol w:w="1095"/>
        <w:gridCol w:w="1635"/>
        <w:gridCol w:w="975"/>
        <w:gridCol w:w="645"/>
        <w:gridCol w:w="1005"/>
        <w:gridCol w:w="675"/>
        <w:gridCol w:w="13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驻乐办运行费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36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4"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36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乐山市金口河区驻乐山事务服务中心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727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34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9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3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6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6.69</w:t>
            </w:r>
          </w:p>
        </w:tc>
        <w:tc>
          <w:tcPr>
            <w:tcW w:w="29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3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63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6.69</w:t>
            </w:r>
          </w:p>
        </w:tc>
        <w:tc>
          <w:tcPr>
            <w:tcW w:w="29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3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63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9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6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完成日用品购买及办公楼维护，缴纳物业管理及停车费、水电气费等</w:t>
            </w:r>
          </w:p>
        </w:tc>
        <w:tc>
          <w:tcPr>
            <w:tcW w:w="36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完成12个月缴费等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09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6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9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234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84%</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按照节约原则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2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095" w:type="dxa"/>
            <w:vMerge w:val="restart"/>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完成日用品购买及办公楼维护等</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6"/>
                <w:lang w:val="en-US" w:eastAsia="zh-CN" w:bidi="ar"/>
              </w:rPr>
              <w:t>12个月</w:t>
            </w: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6"/>
                <w:lang w:val="en-US" w:eastAsia="zh-CN" w:bidi="ar"/>
              </w:rPr>
              <w:t>12个月</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95" w:type="dxa"/>
            <w:vMerge w:val="continue"/>
            <w:tcBorders>
              <w:top w:val="single" w:color="000000" w:sz="4" w:space="0"/>
              <w:left w:val="single" w:color="000000" w:sz="4" w:space="0"/>
              <w:bottom w:val="single" w:color="000000" w:sz="4" w:space="0"/>
              <w:right w:val="nil"/>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缴纳物业管理及停车费</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6"/>
                <w:lang w:val="en-US" w:eastAsia="zh-CN" w:bidi="ar"/>
              </w:rPr>
              <w:t>12个月</w:t>
            </w: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6"/>
                <w:lang w:val="en-US" w:eastAsia="zh-CN" w:bidi="ar"/>
              </w:rPr>
              <w:t>12个月</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95" w:type="dxa"/>
            <w:vMerge w:val="continue"/>
            <w:tcBorders>
              <w:top w:val="single" w:color="000000" w:sz="4" w:space="0"/>
              <w:left w:val="single" w:color="000000" w:sz="4" w:space="0"/>
              <w:bottom w:val="single" w:color="000000" w:sz="4" w:space="0"/>
              <w:right w:val="nil"/>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完成水电气缴纳</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6"/>
                <w:lang w:val="en-US" w:eastAsia="zh-CN" w:bidi="ar"/>
              </w:rPr>
              <w:t>12个月</w:t>
            </w: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6"/>
                <w:lang w:val="en-US" w:eastAsia="zh-CN" w:bidi="ar"/>
              </w:rPr>
              <w:t>12个月</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95"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95"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完成时限</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6"/>
                <w:lang w:val="en-US" w:eastAsia="zh-CN" w:bidi="ar"/>
              </w:rPr>
              <w:t>2023年内</w:t>
            </w: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6"/>
                <w:lang w:val="en-US" w:eastAsia="zh-CN" w:bidi="ar"/>
              </w:rPr>
              <w:t>12个月</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95"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12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095"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95"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95"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95"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2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095" w:type="dxa"/>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7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bl>
    <w:p>
      <w:pPr>
        <w:spacing w:line="600" w:lineRule="exact"/>
        <w:jc w:val="center"/>
        <w:outlineLvl w:val="0"/>
        <w:rPr>
          <w:sz w:val="32"/>
        </w:rPr>
      </w:pPr>
      <w:r>
        <w:rPr>
          <w:rFonts w:hint="eastAsia"/>
          <w:sz w:val="32"/>
          <w:szCs w:val="32"/>
        </w:rPr>
        <w:t>部门预算项目支出绩效自评表（2023年度）</w:t>
      </w:r>
    </w:p>
    <w:tbl>
      <w:tblPr>
        <w:tblStyle w:val="15"/>
        <w:tblW w:w="85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40"/>
        <w:gridCol w:w="570"/>
        <w:gridCol w:w="885"/>
        <w:gridCol w:w="1320"/>
        <w:gridCol w:w="990"/>
        <w:gridCol w:w="1050"/>
        <w:gridCol w:w="1005"/>
        <w:gridCol w:w="705"/>
        <w:gridCol w:w="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接待工作经费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36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36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乐山市金口河区驻乐山事务服务中心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859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71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22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37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6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65"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完成2023年接待工作10次</w:t>
            </w:r>
          </w:p>
        </w:tc>
        <w:tc>
          <w:tcPr>
            <w:tcW w:w="369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37"/>
                <w:lang w:val="en-US" w:eastAsia="zh-CN" w:bidi="ar"/>
              </w:rPr>
              <w:t>实际完成2023年接待工作8次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595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78.4</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91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62%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按照节约原则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1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45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接待次数</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8"/>
                <w:lang w:val="en-US" w:eastAsia="zh-CN" w:bidi="ar"/>
              </w:rPr>
              <w:t>10次</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8次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5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000000"/>
                <w:sz w:val="28"/>
                <w:szCs w:val="28"/>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5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完成时限</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8"/>
                <w:lang w:val="en-US" w:eastAsia="zh-CN" w:bidi="ar"/>
              </w:rPr>
              <w:t>2023年内</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80%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5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接待工作所需经费</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5万元</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Style w:val="38"/>
                <w:lang w:val="en-US" w:eastAsia="zh-CN" w:bidi="ar"/>
              </w:rPr>
              <w:t>3.1万元</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1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45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5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5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45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1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45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18"/>
                <w:szCs w:val="18"/>
                <w:u w:val="none"/>
              </w:rPr>
            </w:pPr>
            <w:r>
              <w:rPr>
                <w:rFonts w:hint="eastAsia" w:ascii="黑体" w:hAnsi="宋体" w:eastAsia="黑体" w:cs="黑体"/>
                <w:i w:val="0"/>
                <w:iCs w:val="0"/>
                <w:color w:val="000000"/>
                <w:kern w:val="0"/>
                <w:sz w:val="18"/>
                <w:szCs w:val="18"/>
                <w:u w:val="none"/>
                <w:lang w:val="en-US" w:eastAsia="zh-CN" w:bidi="ar"/>
              </w:rPr>
              <w:t>服务对象满意</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bl>
    <w:p>
      <w:pPr>
        <w:pStyle w:val="6"/>
        <w:spacing w:before="93"/>
        <w:rPr>
          <w:rFonts w:hAnsi="Calibri" w:cs="仿宋"/>
          <w:sz w:val="32"/>
          <w:szCs w:val="32"/>
        </w:rPr>
      </w:pPr>
    </w:p>
    <w:p>
      <w:pPr>
        <w:spacing w:line="600" w:lineRule="exact"/>
        <w:jc w:val="center"/>
        <w:outlineLvl w:val="0"/>
        <w:rPr>
          <w:rFonts w:hint="eastAsia" w:ascii="黑体" w:hAnsi="黑体" w:eastAsia="黑体"/>
          <w:sz w:val="44"/>
          <w:szCs w:val="44"/>
        </w:rPr>
      </w:pPr>
    </w:p>
    <w:p>
      <w:pPr>
        <w:spacing w:line="600" w:lineRule="exact"/>
        <w:jc w:val="both"/>
        <w:outlineLvl w:val="0"/>
        <w:rPr>
          <w:rFonts w:hint="eastAsia"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73"/>
      <w:bookmarkEnd w:id="76"/>
      <w:bookmarkStart w:id="77" w:name="_Toc15396619"/>
    </w:p>
    <w:p>
      <w:pPr>
        <w:pStyle w:val="4"/>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77"/>
    </w:p>
    <w:p>
      <w:pPr>
        <w:pStyle w:val="4"/>
        <w:rPr>
          <w:rFonts w:ascii="仿宋" w:hAnsi="仿宋" w:eastAsia="仿宋"/>
        </w:rPr>
      </w:pPr>
      <w:bookmarkStart w:id="78" w:name="_Toc15396620"/>
      <w:r>
        <w:rPr>
          <w:rFonts w:hint="eastAsia" w:ascii="仿宋" w:hAnsi="仿宋" w:eastAsia="仿宋"/>
          <w:b w:val="0"/>
        </w:rPr>
        <w:t>二、收</w:t>
      </w:r>
      <w:r>
        <w:rPr>
          <w:rStyle w:val="29"/>
          <w:rFonts w:hint="eastAsia" w:ascii="仿宋" w:hAnsi="仿宋" w:eastAsia="仿宋"/>
          <w:b w:val="0"/>
          <w:bCs w:val="0"/>
        </w:rPr>
        <w:t>入决算表</w:t>
      </w:r>
      <w:bookmarkEnd w:id="78"/>
    </w:p>
    <w:p>
      <w:pPr>
        <w:pStyle w:val="4"/>
        <w:rPr>
          <w:rFonts w:ascii="仿宋" w:hAnsi="仿宋" w:eastAsia="仿宋"/>
        </w:rPr>
      </w:pPr>
      <w:bookmarkStart w:id="79"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79"/>
    </w:p>
    <w:p>
      <w:pPr>
        <w:pStyle w:val="4"/>
        <w:rPr>
          <w:rFonts w:ascii="仿宋" w:hAnsi="仿宋" w:eastAsia="仿宋"/>
          <w:b w:val="0"/>
        </w:rPr>
      </w:pPr>
      <w:bookmarkStart w:id="80"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80"/>
    </w:p>
    <w:p>
      <w:pPr>
        <w:pStyle w:val="4"/>
        <w:rPr>
          <w:rStyle w:val="29"/>
          <w:rFonts w:ascii="仿宋" w:hAnsi="仿宋" w:eastAsia="仿宋"/>
          <w:b w:val="0"/>
          <w:bCs w:val="0"/>
        </w:rPr>
      </w:pPr>
      <w:bookmarkStart w:id="81"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81"/>
      <w:bookmarkStart w:id="82" w:name="_Toc15396624"/>
    </w:p>
    <w:p>
      <w:pPr>
        <w:pStyle w:val="4"/>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82"/>
    </w:p>
    <w:p>
      <w:pPr>
        <w:pStyle w:val="4"/>
        <w:rPr>
          <w:rFonts w:ascii="仿宋" w:hAnsi="仿宋" w:eastAsia="仿宋"/>
        </w:rPr>
      </w:pPr>
      <w:bookmarkStart w:id="83"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83"/>
    </w:p>
    <w:p>
      <w:pPr>
        <w:pStyle w:val="4"/>
        <w:rPr>
          <w:rFonts w:ascii="仿宋" w:hAnsi="仿宋" w:eastAsia="仿宋"/>
        </w:rPr>
      </w:pPr>
      <w:bookmarkStart w:id="84"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84"/>
    </w:p>
    <w:p>
      <w:pPr>
        <w:pStyle w:val="4"/>
        <w:rPr>
          <w:rFonts w:ascii="仿宋" w:hAnsi="仿宋" w:eastAsia="仿宋"/>
        </w:rPr>
      </w:pPr>
      <w:bookmarkStart w:id="85"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85"/>
    </w:p>
    <w:p>
      <w:pPr>
        <w:pStyle w:val="4"/>
        <w:rPr>
          <w:rFonts w:ascii="仿宋" w:hAnsi="仿宋" w:eastAsia="仿宋"/>
        </w:rPr>
      </w:pPr>
      <w:bookmarkStart w:id="86" w:name="_Toc15396628"/>
      <w:r>
        <w:rPr>
          <w:rStyle w:val="29"/>
          <w:rFonts w:hint="eastAsia" w:ascii="仿宋" w:hAnsi="仿宋" w:eastAsia="仿宋"/>
          <w:b w:val="0"/>
          <w:bCs w:val="0"/>
        </w:rPr>
        <w:t>十、</w:t>
      </w:r>
      <w:bookmarkEnd w:id="86"/>
      <w:r>
        <w:rPr>
          <w:rFonts w:hint="eastAsia" w:ascii="仿宋" w:hAnsi="仿宋" w:eastAsia="仿宋"/>
          <w:b w:val="0"/>
        </w:rPr>
        <w:t>政</w:t>
      </w:r>
      <w:r>
        <w:rPr>
          <w:rStyle w:val="29"/>
          <w:rFonts w:hint="eastAsia" w:ascii="仿宋" w:hAnsi="仿宋" w:eastAsia="仿宋"/>
          <w:b w:val="0"/>
          <w:bCs w:val="0"/>
        </w:rPr>
        <w:t>府性基金预算财政拨款收入支出决算表</w:t>
      </w:r>
    </w:p>
    <w:p>
      <w:pPr>
        <w:pStyle w:val="4"/>
        <w:rPr>
          <w:rFonts w:ascii="仿宋" w:hAnsi="仿宋" w:eastAsia="仿宋"/>
        </w:rPr>
      </w:pPr>
      <w:bookmarkStart w:id="87" w:name="_Toc15396629"/>
      <w:r>
        <w:rPr>
          <w:rStyle w:val="29"/>
          <w:rFonts w:hint="eastAsia" w:ascii="仿宋" w:hAnsi="仿宋" w:eastAsia="仿宋"/>
          <w:b w:val="0"/>
          <w:bCs w:val="0"/>
        </w:rPr>
        <w:t>十一、</w:t>
      </w:r>
      <w:bookmarkEnd w:id="87"/>
      <w:r>
        <w:rPr>
          <w:rFonts w:hint="eastAsia" w:ascii="仿宋" w:hAnsi="仿宋" w:eastAsia="仿宋"/>
          <w:b w:val="0"/>
        </w:rPr>
        <w:t>国</w:t>
      </w:r>
      <w:r>
        <w:rPr>
          <w:rStyle w:val="29"/>
          <w:rFonts w:hint="eastAsia" w:ascii="仿宋" w:hAnsi="仿宋" w:eastAsia="仿宋"/>
          <w:b w:val="0"/>
          <w:bCs w:val="0"/>
        </w:rPr>
        <w:t>有资本经营预算财政拨款收入支出决算表</w:t>
      </w:r>
    </w:p>
    <w:p>
      <w:pPr>
        <w:pStyle w:val="4"/>
        <w:rPr>
          <w:rFonts w:ascii="仿宋" w:hAnsi="仿宋" w:eastAsia="仿宋"/>
        </w:rPr>
      </w:pPr>
      <w:bookmarkStart w:id="88" w:name="_Toc15396630"/>
      <w:r>
        <w:rPr>
          <w:rStyle w:val="29"/>
          <w:rFonts w:hint="eastAsia" w:ascii="仿宋" w:hAnsi="仿宋" w:eastAsia="仿宋"/>
          <w:b w:val="0"/>
          <w:bCs w:val="0"/>
        </w:rPr>
        <w:t>十二、</w:t>
      </w:r>
      <w:bookmarkEnd w:id="88"/>
      <w:r>
        <w:rPr>
          <w:rStyle w:val="29"/>
          <w:rFonts w:hint="eastAsia" w:ascii="仿宋" w:hAnsi="仿宋" w:eastAsia="仿宋"/>
          <w:b w:val="0"/>
          <w:bCs w:val="0"/>
        </w:rPr>
        <w:t>国有资本经营预算财政拨款支出决算表</w:t>
      </w:r>
    </w:p>
    <w:p>
      <w:pPr>
        <w:pStyle w:val="4"/>
        <w:rPr>
          <w:rFonts w:eastAsia="仿宋"/>
        </w:rPr>
      </w:pPr>
      <w:bookmarkStart w:id="89" w:name="_Toc15396631"/>
      <w:r>
        <w:rPr>
          <w:rStyle w:val="29"/>
          <w:rFonts w:hint="eastAsia" w:ascii="仿宋" w:hAnsi="仿宋" w:eastAsia="仿宋"/>
          <w:b w:val="0"/>
          <w:bCs w:val="0"/>
        </w:rPr>
        <w:t>十三、</w:t>
      </w:r>
      <w:bookmarkEnd w:id="89"/>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15</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A74E7"/>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75838"/>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913CB9"/>
    <w:rsid w:val="02781490"/>
    <w:rsid w:val="02FF78DB"/>
    <w:rsid w:val="03DC2831"/>
    <w:rsid w:val="04E24AAA"/>
    <w:rsid w:val="057C377D"/>
    <w:rsid w:val="081B5E94"/>
    <w:rsid w:val="081E04B9"/>
    <w:rsid w:val="08487F22"/>
    <w:rsid w:val="088D2C15"/>
    <w:rsid w:val="0A0D06A0"/>
    <w:rsid w:val="0A2032A3"/>
    <w:rsid w:val="0B330B1C"/>
    <w:rsid w:val="0B8A37D8"/>
    <w:rsid w:val="0CFD24DF"/>
    <w:rsid w:val="0D5E127F"/>
    <w:rsid w:val="0EFD0D47"/>
    <w:rsid w:val="0F557F0B"/>
    <w:rsid w:val="0F5FFB2F"/>
    <w:rsid w:val="0FFFCF60"/>
    <w:rsid w:val="10A750B7"/>
    <w:rsid w:val="10C055FF"/>
    <w:rsid w:val="118107EC"/>
    <w:rsid w:val="11DD6519"/>
    <w:rsid w:val="11E75AAF"/>
    <w:rsid w:val="12F83AAE"/>
    <w:rsid w:val="13A302CE"/>
    <w:rsid w:val="158C71E9"/>
    <w:rsid w:val="158F1156"/>
    <w:rsid w:val="16BB723D"/>
    <w:rsid w:val="171E63FC"/>
    <w:rsid w:val="17284C00"/>
    <w:rsid w:val="178570A5"/>
    <w:rsid w:val="18015F3F"/>
    <w:rsid w:val="18D81BA2"/>
    <w:rsid w:val="19407113"/>
    <w:rsid w:val="1A3F4622"/>
    <w:rsid w:val="1B0C5074"/>
    <w:rsid w:val="1BE8440E"/>
    <w:rsid w:val="1C7723C1"/>
    <w:rsid w:val="1C7A64C7"/>
    <w:rsid w:val="1D155CEE"/>
    <w:rsid w:val="1D661B09"/>
    <w:rsid w:val="1FCC5CAF"/>
    <w:rsid w:val="1FDBBF84"/>
    <w:rsid w:val="20AF2D17"/>
    <w:rsid w:val="20D52267"/>
    <w:rsid w:val="20F57F95"/>
    <w:rsid w:val="219E0135"/>
    <w:rsid w:val="21C92ABE"/>
    <w:rsid w:val="227C1432"/>
    <w:rsid w:val="22CE06EC"/>
    <w:rsid w:val="23486061"/>
    <w:rsid w:val="23847BDA"/>
    <w:rsid w:val="240371BF"/>
    <w:rsid w:val="25711CC6"/>
    <w:rsid w:val="25755282"/>
    <w:rsid w:val="25C741E6"/>
    <w:rsid w:val="25F35B50"/>
    <w:rsid w:val="26962DDB"/>
    <w:rsid w:val="269B53A7"/>
    <w:rsid w:val="276F80C0"/>
    <w:rsid w:val="27842671"/>
    <w:rsid w:val="278E4A89"/>
    <w:rsid w:val="28225218"/>
    <w:rsid w:val="28837103"/>
    <w:rsid w:val="290D629E"/>
    <w:rsid w:val="29CB2916"/>
    <w:rsid w:val="29FD04D3"/>
    <w:rsid w:val="2A0D6C0A"/>
    <w:rsid w:val="2AAD0D12"/>
    <w:rsid w:val="2AB84B24"/>
    <w:rsid w:val="2ABE7A3E"/>
    <w:rsid w:val="2AFF09B6"/>
    <w:rsid w:val="2BAE1BB9"/>
    <w:rsid w:val="2C3F295D"/>
    <w:rsid w:val="2C97160A"/>
    <w:rsid w:val="2CA234A8"/>
    <w:rsid w:val="2E5B2932"/>
    <w:rsid w:val="2E8562F7"/>
    <w:rsid w:val="2EFA178C"/>
    <w:rsid w:val="2EFDF86C"/>
    <w:rsid w:val="2F9D17E1"/>
    <w:rsid w:val="30B46D73"/>
    <w:rsid w:val="30DE4876"/>
    <w:rsid w:val="31283BAD"/>
    <w:rsid w:val="3154061C"/>
    <w:rsid w:val="319F7F4E"/>
    <w:rsid w:val="31D23848"/>
    <w:rsid w:val="32134DB6"/>
    <w:rsid w:val="336D470B"/>
    <w:rsid w:val="33A967D4"/>
    <w:rsid w:val="35375E1B"/>
    <w:rsid w:val="356A28F1"/>
    <w:rsid w:val="357C035A"/>
    <w:rsid w:val="35D72EE3"/>
    <w:rsid w:val="35E80F77"/>
    <w:rsid w:val="36573548"/>
    <w:rsid w:val="368E000D"/>
    <w:rsid w:val="37812733"/>
    <w:rsid w:val="383D272C"/>
    <w:rsid w:val="39AE70AB"/>
    <w:rsid w:val="3A4DCE41"/>
    <w:rsid w:val="3A4F1DB8"/>
    <w:rsid w:val="3B3F51A6"/>
    <w:rsid w:val="3BA5016B"/>
    <w:rsid w:val="3BCB56FA"/>
    <w:rsid w:val="3C0C0783"/>
    <w:rsid w:val="3C8231D5"/>
    <w:rsid w:val="3C8B2027"/>
    <w:rsid w:val="3C8E2667"/>
    <w:rsid w:val="3C8F1F23"/>
    <w:rsid w:val="3C9C73FE"/>
    <w:rsid w:val="3D677014"/>
    <w:rsid w:val="3E8403BB"/>
    <w:rsid w:val="3ECC48DE"/>
    <w:rsid w:val="3EE7C2F4"/>
    <w:rsid w:val="3F371B56"/>
    <w:rsid w:val="3F792ED8"/>
    <w:rsid w:val="3F9F3A96"/>
    <w:rsid w:val="3FECA4B2"/>
    <w:rsid w:val="3FF58C48"/>
    <w:rsid w:val="404A05D5"/>
    <w:rsid w:val="407C4A76"/>
    <w:rsid w:val="41336B88"/>
    <w:rsid w:val="42FF6694"/>
    <w:rsid w:val="43FB0295"/>
    <w:rsid w:val="4416506F"/>
    <w:rsid w:val="446472DA"/>
    <w:rsid w:val="46190610"/>
    <w:rsid w:val="466A3C64"/>
    <w:rsid w:val="47800E5B"/>
    <w:rsid w:val="47AC2395"/>
    <w:rsid w:val="47E367B3"/>
    <w:rsid w:val="48BF60AB"/>
    <w:rsid w:val="493C27E9"/>
    <w:rsid w:val="496322F6"/>
    <w:rsid w:val="496F39ED"/>
    <w:rsid w:val="49FF41D3"/>
    <w:rsid w:val="4A336ADC"/>
    <w:rsid w:val="4AAE1013"/>
    <w:rsid w:val="4B307766"/>
    <w:rsid w:val="4BDD5F4B"/>
    <w:rsid w:val="4BE068DB"/>
    <w:rsid w:val="4BF6002B"/>
    <w:rsid w:val="4BFFC6BE"/>
    <w:rsid w:val="4ECE2238"/>
    <w:rsid w:val="4F3F6893"/>
    <w:rsid w:val="50491ED8"/>
    <w:rsid w:val="51DB4B86"/>
    <w:rsid w:val="51F64DB0"/>
    <w:rsid w:val="52383978"/>
    <w:rsid w:val="526300B8"/>
    <w:rsid w:val="55333C3E"/>
    <w:rsid w:val="558C12B5"/>
    <w:rsid w:val="58B65B9B"/>
    <w:rsid w:val="59A654A4"/>
    <w:rsid w:val="59E00B01"/>
    <w:rsid w:val="5A062FF6"/>
    <w:rsid w:val="5A4056A2"/>
    <w:rsid w:val="5A995D31"/>
    <w:rsid w:val="5B152C85"/>
    <w:rsid w:val="5B9B7354"/>
    <w:rsid w:val="5BA340A9"/>
    <w:rsid w:val="5C522B03"/>
    <w:rsid w:val="5C9659FA"/>
    <w:rsid w:val="5CA31618"/>
    <w:rsid w:val="5CCA72CA"/>
    <w:rsid w:val="5CE8654D"/>
    <w:rsid w:val="5F67802D"/>
    <w:rsid w:val="5F7DC4F2"/>
    <w:rsid w:val="5F9652C1"/>
    <w:rsid w:val="5FB36814"/>
    <w:rsid w:val="5FBB8E56"/>
    <w:rsid w:val="5FFB5535"/>
    <w:rsid w:val="603F0E46"/>
    <w:rsid w:val="61607704"/>
    <w:rsid w:val="616D02E8"/>
    <w:rsid w:val="61AC7553"/>
    <w:rsid w:val="620F48D2"/>
    <w:rsid w:val="62783535"/>
    <w:rsid w:val="631E1140"/>
    <w:rsid w:val="638D67F3"/>
    <w:rsid w:val="63B0179C"/>
    <w:rsid w:val="63BA42F6"/>
    <w:rsid w:val="64195948"/>
    <w:rsid w:val="647A79C5"/>
    <w:rsid w:val="64CA39A1"/>
    <w:rsid w:val="658562A7"/>
    <w:rsid w:val="65A11F4C"/>
    <w:rsid w:val="65B03D29"/>
    <w:rsid w:val="65F448EC"/>
    <w:rsid w:val="69630ADE"/>
    <w:rsid w:val="699D31A0"/>
    <w:rsid w:val="69BD5F13"/>
    <w:rsid w:val="69D516F1"/>
    <w:rsid w:val="69F21D41"/>
    <w:rsid w:val="69FB0B4B"/>
    <w:rsid w:val="6AA91232"/>
    <w:rsid w:val="6B325D6A"/>
    <w:rsid w:val="6B61544E"/>
    <w:rsid w:val="6BF90031"/>
    <w:rsid w:val="6BFFE1FB"/>
    <w:rsid w:val="6C4A05C8"/>
    <w:rsid w:val="6D3B1A89"/>
    <w:rsid w:val="6DB7D8A3"/>
    <w:rsid w:val="6DE85EF5"/>
    <w:rsid w:val="6EC78701"/>
    <w:rsid w:val="6F4D6275"/>
    <w:rsid w:val="6F7A5481"/>
    <w:rsid w:val="6FE93B2A"/>
    <w:rsid w:val="6FFE07A9"/>
    <w:rsid w:val="715F2F85"/>
    <w:rsid w:val="71BF4EC2"/>
    <w:rsid w:val="72601FB5"/>
    <w:rsid w:val="72734D90"/>
    <w:rsid w:val="72A25A06"/>
    <w:rsid w:val="73CB1207"/>
    <w:rsid w:val="73E75B71"/>
    <w:rsid w:val="7412278C"/>
    <w:rsid w:val="74F16DF4"/>
    <w:rsid w:val="75320F24"/>
    <w:rsid w:val="75AA049A"/>
    <w:rsid w:val="75DDCDA9"/>
    <w:rsid w:val="75FF44B1"/>
    <w:rsid w:val="767B59B8"/>
    <w:rsid w:val="76A72C39"/>
    <w:rsid w:val="77670518"/>
    <w:rsid w:val="777FA627"/>
    <w:rsid w:val="77DE0738"/>
    <w:rsid w:val="77DF1B5F"/>
    <w:rsid w:val="77EF2D9D"/>
    <w:rsid w:val="782F4AE7"/>
    <w:rsid w:val="78B41694"/>
    <w:rsid w:val="793876EF"/>
    <w:rsid w:val="79DA645A"/>
    <w:rsid w:val="79E7B28D"/>
    <w:rsid w:val="7A056BAC"/>
    <w:rsid w:val="7ACFF0C2"/>
    <w:rsid w:val="7AFB9108"/>
    <w:rsid w:val="7B220D7A"/>
    <w:rsid w:val="7B625A7B"/>
    <w:rsid w:val="7BD5340C"/>
    <w:rsid w:val="7BFB19D2"/>
    <w:rsid w:val="7BFD1750"/>
    <w:rsid w:val="7BFDAA1B"/>
    <w:rsid w:val="7CDF9A82"/>
    <w:rsid w:val="7CFFA1BD"/>
    <w:rsid w:val="7D2124A7"/>
    <w:rsid w:val="7D2E3F7A"/>
    <w:rsid w:val="7DED9490"/>
    <w:rsid w:val="7DFF4872"/>
    <w:rsid w:val="7E0C599F"/>
    <w:rsid w:val="7E7487E6"/>
    <w:rsid w:val="7E7C2A54"/>
    <w:rsid w:val="7EEEFD72"/>
    <w:rsid w:val="7F1D517C"/>
    <w:rsid w:val="7F5DA057"/>
    <w:rsid w:val="7F6C2237"/>
    <w:rsid w:val="7F7F319B"/>
    <w:rsid w:val="7F9F20EE"/>
    <w:rsid w:val="7FBBE890"/>
    <w:rsid w:val="7FBC2ABD"/>
    <w:rsid w:val="7FBF5D48"/>
    <w:rsid w:val="7FCCFC01"/>
    <w:rsid w:val="7FD837E3"/>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E749871"/>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99"/>
    <w:pPr>
      <w:spacing w:before="240" w:after="60"/>
      <w:jc w:val="center"/>
      <w:outlineLvl w:val="0"/>
    </w:pPr>
    <w:rPr>
      <w:rFonts w:ascii="Arial" w:hAnsi="Arial" w:cs="Arial"/>
      <w:bCs/>
      <w:szCs w:val="21"/>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字符"/>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字符"/>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字符"/>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6"/>
    <w:link w:val="3"/>
    <w:qFormat/>
    <w:uiPriority w:val="9"/>
    <w:rPr>
      <w:rFonts w:ascii="Times New Roman" w:hAnsi="Times New Roman"/>
      <w:b/>
      <w:bCs/>
      <w:kern w:val="44"/>
      <w:sz w:val="44"/>
      <w:szCs w:val="44"/>
    </w:rPr>
  </w:style>
  <w:style w:type="character" w:customStyle="1" w:styleId="29">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6"/>
    <w:link w:val="9"/>
    <w:semiHidden/>
    <w:qFormat/>
    <w:uiPriority w:val="99"/>
    <w:rPr>
      <w:rFonts w:ascii="Times New Roman" w:hAnsi="Times New Roman"/>
      <w:kern w:val="2"/>
      <w:sz w:val="18"/>
      <w:szCs w:val="18"/>
    </w:rPr>
  </w:style>
  <w:style w:type="character" w:customStyle="1" w:styleId="32">
    <w:name w:val="标题 3 字符"/>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font01"/>
    <w:basedOn w:val="16"/>
    <w:qFormat/>
    <w:uiPriority w:val="0"/>
    <w:rPr>
      <w:rFonts w:hint="eastAsia" w:ascii="宋体" w:hAnsi="宋体" w:eastAsia="宋体" w:cs="宋体"/>
      <w:color w:val="000000"/>
      <w:sz w:val="20"/>
      <w:szCs w:val="20"/>
      <w:u w:val="none"/>
    </w:rPr>
  </w:style>
  <w:style w:type="character" w:customStyle="1" w:styleId="35">
    <w:name w:val="font61"/>
    <w:basedOn w:val="16"/>
    <w:qFormat/>
    <w:uiPriority w:val="0"/>
    <w:rPr>
      <w:rFonts w:hint="eastAsia" w:ascii="宋体" w:hAnsi="宋体" w:eastAsia="宋体" w:cs="宋体"/>
      <w:color w:val="333333"/>
      <w:sz w:val="18"/>
      <w:szCs w:val="18"/>
      <w:u w:val="none"/>
    </w:rPr>
  </w:style>
  <w:style w:type="character" w:customStyle="1" w:styleId="36">
    <w:name w:val="font51"/>
    <w:basedOn w:val="16"/>
    <w:qFormat/>
    <w:uiPriority w:val="0"/>
    <w:rPr>
      <w:rFonts w:hint="eastAsia" w:ascii="宋体" w:hAnsi="宋体" w:eastAsia="宋体" w:cs="宋体"/>
      <w:color w:val="333333"/>
      <w:sz w:val="18"/>
      <w:szCs w:val="18"/>
      <w:u w:val="none"/>
    </w:rPr>
  </w:style>
  <w:style w:type="character" w:customStyle="1" w:styleId="37">
    <w:name w:val="font11"/>
    <w:basedOn w:val="16"/>
    <w:qFormat/>
    <w:uiPriority w:val="0"/>
    <w:rPr>
      <w:rFonts w:hint="eastAsia" w:ascii="宋体" w:hAnsi="宋体" w:eastAsia="宋体" w:cs="宋体"/>
      <w:color w:val="000000"/>
      <w:sz w:val="20"/>
      <w:szCs w:val="20"/>
      <w:u w:val="none"/>
    </w:rPr>
  </w:style>
  <w:style w:type="character" w:customStyle="1" w:styleId="38">
    <w:name w:val="font81"/>
    <w:basedOn w:val="16"/>
    <w:qFormat/>
    <w:uiPriority w:val="0"/>
    <w:rPr>
      <w:rFonts w:hint="eastAsia" w:ascii="宋体" w:hAnsi="宋体" w:eastAsia="宋体" w:cs="宋体"/>
      <w:color w:val="333333"/>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收支总计变动情况图</a:t>
            </a:r>
            <a:endParaRPr lang="zh-CN" altLang="en-US"/>
          </a:p>
        </c:rich>
      </c:tx>
      <c:layout/>
      <c:overlay val="0"/>
      <c:spPr>
        <a:noFill/>
        <a:ln>
          <a:noFill/>
        </a:ln>
        <a:effectLst/>
      </c:spPr>
    </c:title>
    <c:autoTitleDeleted val="0"/>
    <c:plotArea>
      <c:layout>
        <c:manualLayout>
          <c:layoutTarget val="inner"/>
          <c:xMode val="edge"/>
          <c:yMode val="edge"/>
          <c:x val="0.0310838445807771"/>
          <c:y val="0.306895680727456"/>
          <c:w val="0.940013633265167"/>
          <c:h val="0.570952260671887"/>
        </c:manualLayout>
      </c:layout>
      <c:barChart>
        <c:barDir val="col"/>
        <c:grouping val="clustered"/>
        <c:varyColors val="0"/>
        <c:ser>
          <c:idx val="0"/>
          <c:order val="0"/>
          <c:tx>
            <c:strRef>
              <c:f>Sheet1!$B$1</c:f>
              <c:strCache>
                <c:ptCount val="1"/>
                <c:pt idx="0">
                  <c:v>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2022年收支总计</c:v>
                </c:pt>
                <c:pt idx="1">
                  <c:v>2023年收支总计</c:v>
                </c:pt>
              </c:strCache>
            </c:strRef>
          </c:cat>
          <c:val>
            <c:numRef>
              <c:f>Sheet1!$B$2:$B$3</c:f>
              <c:numCache>
                <c:formatCode>General</c:formatCode>
                <c:ptCount val="2"/>
                <c:pt idx="0">
                  <c:v>51.43</c:v>
                </c:pt>
                <c:pt idx="1">
                  <c:v>41.5</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Sheet1!$B$2:$B$9</c:f>
              <c:numCache>
                <c:formatCode>General</c:formatCode>
                <c:ptCount val="8"/>
                <c:pt idx="0">
                  <c:v>100</c:v>
                </c:pt>
                <c:pt idx="1">
                  <c:v>0</c:v>
                </c:pt>
                <c:pt idx="2">
                  <c:v>0</c:v>
                </c:pt>
                <c:pt idx="3">
                  <c:v>0</c:v>
                </c:pt>
                <c:pt idx="4">
                  <c:v>0</c:v>
                </c:pt>
                <c:pt idx="5">
                  <c:v>0</c:v>
                </c:pt>
                <c:pt idx="6">
                  <c:v>0</c:v>
                </c:pt>
                <c:pt idx="7">
                  <c:v>0</c:v>
                </c:pt>
              </c:numCache>
            </c:numRef>
          </c:val>
        </c:ser>
        <c:ser>
          <c:idx val="1"/>
          <c:order val="1"/>
          <c:tx>
            <c:strRef>
              <c:f>Sheet1!$C$1</c:f>
              <c:strCache>
                <c:ptCount val="1"/>
                <c:pt idx="0">
                  <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Lbls>
            <c:delete val="1"/>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Sheet1!$C$2:$C$8</c:f>
              <c:numCache>
                <c:formatCode>General</c:formatCode>
                <c:ptCount val="7"/>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20.54</c:v>
                </c:pt>
                <c:pt idx="1">
                  <c:v>20.96</c:v>
                </c:pt>
                <c:pt idx="2">
                  <c:v>0</c:v>
                </c:pt>
                <c:pt idx="3">
                  <c:v>0</c:v>
                </c:pt>
                <c:pt idx="4">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2022年财政拨款收支总计</c:v>
                </c:pt>
                <c:pt idx="1">
                  <c:v>2023年财政拨款收支总计</c:v>
                </c:pt>
              </c:strCache>
            </c:strRef>
          </c:cat>
          <c:val>
            <c:numRef>
              <c:f>Sheet1!$B$2:$B$3</c:f>
              <c:numCache>
                <c:formatCode>General</c:formatCode>
                <c:ptCount val="2"/>
                <c:pt idx="0">
                  <c:v>51.43</c:v>
                </c:pt>
                <c:pt idx="1">
                  <c:v>41.49</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一般公共预算财政拨款支出变化图（万元）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2022年一般公共预算财政拨款支出总计</c:v>
                </c:pt>
                <c:pt idx="1">
                  <c:v>2023年一般公共预算财政拨款支出总计</c:v>
                </c:pt>
              </c:strCache>
            </c:strRef>
          </c:cat>
          <c:val>
            <c:numRef>
              <c:f>Sheet1!$B$2:$B$3</c:f>
              <c:numCache>
                <c:formatCode>General</c:formatCode>
                <c:ptCount val="2"/>
                <c:pt idx="0">
                  <c:v>51.43</c:v>
                </c:pt>
                <c:pt idx="1">
                  <c:v>41.49</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manualLayout>
          <c:xMode val="edge"/>
          <c:yMode val="edge"/>
          <c:x val="0.210020449897751"/>
          <c:y val="0.044351464435146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34799482535576"/>
          <c:y val="0.0361881785283474"/>
        </c:manualLayout>
      </c:layout>
      <c:overlay val="0"/>
      <c:spPr>
        <a:noFill/>
        <a:ln>
          <a:noFill/>
        </a:ln>
        <a:effectLst/>
      </c:spPr>
      <c:txPr>
        <a:bodyPr rot="0" spcFirstLastPara="0" vertOverflow="ellipsis" vert="horz" wrap="square" anchor="ctr" anchorCtr="1"/>
        <a:lstStyle/>
        <a:p>
          <a:pPr>
            <a:defRPr lang="zh-CN" sz="1600" b="1" i="0" u="none" strike="noStrike" kern="1200" cap="all"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一般公共预算财政拨款支出决算结构图</c:v>
                </c:pt>
              </c:strCache>
            </c:strRef>
          </c:tx>
          <c:spPr/>
          <c:explosion val="0"/>
          <c:dPt>
            <c:idx val="0"/>
            <c:bubble3D val="0"/>
            <c:spPr>
              <a:solidFill>
                <a:schemeClr val="accent1"/>
              </a:solidFill>
              <a:ln>
                <a:noFill/>
              </a:ln>
              <a:effectLst>
                <a:outerShdw blurRad="63500" sx="102000" sy="102000" algn="ctr" rotWithShape="0">
                  <a:prstClr val="black">
                    <a:alpha val="20000"/>
                  </a:prstClr>
                </a:outerShdw>
              </a:effectLst>
            </c:spPr>
          </c:dPt>
          <c:dPt>
            <c:idx val="1"/>
            <c:bubble3D val="0"/>
            <c:spPr>
              <a:solidFill>
                <a:schemeClr val="accent2"/>
              </a:solidFill>
              <a:ln>
                <a:noFill/>
              </a:ln>
              <a:effectLst>
                <a:outerShdw blurRad="63500" sx="102000" sy="102000" algn="ctr" rotWithShape="0">
                  <a:prstClr val="black">
                    <a:alpha val="20000"/>
                  </a:prstClr>
                </a:outerShdw>
              </a:effectLst>
            </c:spPr>
          </c:dPt>
          <c:dPt>
            <c:idx val="2"/>
            <c:bubble3D val="0"/>
            <c:spPr>
              <a:solidFill>
                <a:schemeClr val="accent3"/>
              </a:solidFill>
              <a:ln>
                <a:noFill/>
              </a:ln>
              <a:effectLst>
                <a:outerShdw blurRad="63500" sx="102000" sy="102000" algn="ctr" rotWithShape="0">
                  <a:prstClr val="black">
                    <a:alpha val="20000"/>
                  </a:prstClr>
                </a:outerShdw>
              </a:effectLst>
            </c:spPr>
          </c:dPt>
          <c:dPt>
            <c:idx val="3"/>
            <c:bubble3D val="0"/>
            <c:spPr>
              <a:solidFill>
                <a:schemeClr val="accent4"/>
              </a:solidFill>
              <a:ln>
                <a:noFill/>
              </a:ln>
              <a:effectLst>
                <a:outerShdw blurRad="63500" sx="102000" sy="102000" algn="ctr" rotWithShape="0">
                  <a:prstClr val="black">
                    <a:alpha val="20000"/>
                  </a:prstClr>
                </a:outerShdw>
              </a:effectLst>
            </c:spPr>
          </c:dPt>
          <c:dLbls>
            <c:dLbl>
              <c:idx val="0"/>
              <c:layout>
                <c:manualLayout>
                  <c:x val="0.117587558477684"/>
                  <c:y val="-0.00876936568254896"/>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0579073212645067"/>
                  <c:y val="0.226870313176016"/>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755034997874431"/>
                  <c:y val="0.0562260204392863"/>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0550006321911746"/>
                  <c:y val="0.0306927798889214"/>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4"/>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一般公共服务（类）支出</c:v>
                </c:pt>
                <c:pt idx="1">
                  <c:v>社会保障和就业（类）支出</c:v>
                </c:pt>
                <c:pt idx="2">
                  <c:v>卫生健康支出</c:v>
                </c:pt>
                <c:pt idx="3">
                  <c:v>住房保障支出</c:v>
                </c:pt>
              </c:strCache>
            </c:strRef>
          </c:cat>
          <c:val>
            <c:numRef>
              <c:f>Sheet1!$B$2:$B$5</c:f>
              <c:numCache>
                <c:formatCode>General</c:formatCode>
                <c:ptCount val="4"/>
                <c:pt idx="0">
                  <c:v>33.63</c:v>
                </c:pt>
                <c:pt idx="1">
                  <c:v>5.76</c:v>
                </c:pt>
                <c:pt idx="2">
                  <c:v>0.63</c:v>
                </c:pt>
                <c:pt idx="3">
                  <c:v>1.47</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layout>
        <c:manualLayout>
          <c:xMode val="edge"/>
          <c:yMode val="edge"/>
          <c:x val="0.236125"/>
          <c:y val="0.0345323741007194"/>
        </c:manualLayout>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“三公”经费财政拨款支出结构图</c:v>
                </c:pt>
              </c:strCache>
            </c:strRef>
          </c:tx>
          <c:spPr/>
          <c:explosion val="0"/>
          <c:dPt>
            <c:idx val="0"/>
            <c:bubble3D val="0"/>
            <c:spPr>
              <a:solidFill>
                <a:schemeClr val="accent1">
                  <a:shade val="65000"/>
                </a:schemeClr>
              </a:solidFill>
              <a:ln w="19050">
                <a:solidFill>
                  <a:schemeClr val="lt1"/>
                </a:solidFill>
              </a:ln>
              <a:effectLst/>
            </c:spPr>
          </c:dPt>
          <c:dPt>
            <c:idx val="1"/>
            <c:bubble3D val="0"/>
            <c:spPr>
              <a:solidFill>
                <a:schemeClr val="accent1"/>
              </a:solidFill>
              <a:ln w="19050">
                <a:solidFill>
                  <a:schemeClr val="lt1"/>
                </a:solidFill>
              </a:ln>
              <a:effectLst/>
            </c:spPr>
          </c:dPt>
          <c:dPt>
            <c:idx val="2"/>
            <c:bubble3D val="0"/>
            <c:spPr>
              <a:solidFill>
                <a:schemeClr val="accent1">
                  <a:tint val="65000"/>
                </a:schemeClr>
              </a:solidFill>
              <a:ln w="19050">
                <a:solidFill>
                  <a:schemeClr val="lt1"/>
                </a:solidFill>
              </a:ln>
              <a:effectLst/>
            </c:spPr>
          </c:dPt>
          <c:dLbls>
            <c:dLbl>
              <c:idx val="0"/>
              <c:layout>
                <c:manualLayout>
                  <c:x val="-0.148125671980747"/>
                  <c:y val="0.16888057554076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76249328019253"/>
                  <c:y val="0.151079136690647"/>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113416706675805"/>
                  <c:y val="0.0541988466702934"/>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0</c:v>
                </c:pt>
                <c:pt idx="2">
                  <c:v>3.1</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withinLinear" id="14">
  <a:schemeClr val="accent1"/>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1142</Words>
  <Characters>6514</Characters>
  <Lines>54</Lines>
  <Paragraphs>15</Paragraphs>
  <TotalTime>27</TotalTime>
  <ScaleCrop>false</ScaleCrop>
  <LinksUpToDate>false</LinksUpToDate>
  <CharactersWithSpaces>7641</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2020-08-08T09:49:00Z</dcterms:created>
  <dc:creator>曹颖</dc:creator>
  <cp:lastModifiedBy>易小琴</cp:lastModifiedBy>
  <cp:lastPrinted>2023-08-03T10:35:00Z</cp:lastPrinted>
  <dcterms:modified xsi:type="dcterms:W3CDTF">2024-09-26T06:35:17Z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DE4AC615535A4474B55DB5A28752E619</vt:lpwstr>
  </property>
</Properties>
</file>