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harts/chart1.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Override PartName="/word/charts/chart4.xml" ContentType="application/vnd.openxmlformats-officedocument.drawingml.chart+xml"/>
  <Override PartName="/word/charts/chart5.xml" ContentType="application/vnd.openxmlformats-officedocument.drawingml.chart+xml"/>
  <Override PartName="/word/charts/chart6.xml" ContentType="application/vnd.openxmlformats-officedocument.drawingml.chart+xml"/>
  <Override PartName="/word/charts/chart7.xml" ContentType="application/vnd.openxmlformats-officedocument.drawingml.chart+xml"/>
  <Override PartName="/word/charts/colors1.xml" ContentType="application/vnd.ms-office.chartcolorstyle+xml"/>
  <Override PartName="/word/charts/colors2.xml" ContentType="application/vnd.ms-office.chartcolorstyle+xml"/>
  <Override PartName="/word/charts/colors3.xml" ContentType="application/vnd.ms-office.chartcolorstyle+xml"/>
  <Override PartName="/word/charts/colors4.xml" ContentType="application/vnd.ms-office.chartcolorstyle+xml"/>
  <Override PartName="/word/charts/colors5.xml" ContentType="application/vnd.ms-office.chartcolorstyle+xml"/>
  <Override PartName="/word/charts/colors6.xml" ContentType="application/vnd.ms-office.chartcolorstyle+xml"/>
  <Override PartName="/word/charts/colors7.xml" ContentType="application/vnd.ms-office.chartcolorstyle+xml"/>
  <Override PartName="/word/charts/style1.xml" ContentType="application/vnd.ms-office.chartstyle+xml"/>
  <Override PartName="/word/charts/style2.xml" ContentType="application/vnd.ms-office.chartstyle+xml"/>
  <Override PartName="/word/charts/style3.xml" ContentType="application/vnd.ms-office.chartstyle+xml"/>
  <Override PartName="/word/charts/style4.xml" ContentType="application/vnd.ms-office.chartstyle+xml"/>
  <Override PartName="/word/charts/style5.xml" ContentType="application/vnd.ms-office.chartstyle+xml"/>
  <Override PartName="/word/charts/style6.xml" ContentType="application/vnd.ms-office.chartstyle+xml"/>
  <Override PartName="/word/charts/style7.xml" ContentType="application/vnd.ms-office.chartstyle+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6E26711">
      <w:pPr>
        <w:pStyle w:val="5"/>
        <w:jc w:val="both"/>
        <w:rPr>
          <w:rFonts w:hint="eastAsia" w:ascii="Times New Roman" w:hAnsi="Times New Roman" w:eastAsia="方正小标宋简体" w:cs="Times New Roman"/>
          <w:color w:val="auto"/>
          <w:kern w:val="2"/>
          <w:sz w:val="44"/>
          <w:szCs w:val="44"/>
          <w:highlight w:val="none"/>
          <w:lang w:val="en-US" w:eastAsia="zh-CN" w:bidi="ar-SA"/>
        </w:rPr>
      </w:pPr>
      <w:bookmarkStart w:id="0" w:name="_Toc15306267"/>
      <w:bookmarkStart w:id="1" w:name="_Toc15396476"/>
      <w:bookmarkStart w:id="2" w:name="_Toc15396598"/>
      <w:bookmarkStart w:id="3" w:name="_Toc15377426"/>
      <w:bookmarkStart w:id="4" w:name="_Toc15378442"/>
      <w:bookmarkStart w:id="5" w:name="_Toc15377194"/>
    </w:p>
    <w:p w14:paraId="38BE3AC4">
      <w:pPr>
        <w:pStyle w:val="5"/>
        <w:jc w:val="both"/>
        <w:rPr>
          <w:rFonts w:hint="eastAsia" w:ascii="Times New Roman" w:hAnsi="Times New Roman" w:eastAsia="方正小标宋简体" w:cs="Times New Roman"/>
          <w:color w:val="auto"/>
          <w:kern w:val="2"/>
          <w:sz w:val="44"/>
          <w:szCs w:val="44"/>
          <w:highlight w:val="none"/>
          <w:lang w:val="en-US" w:eastAsia="zh-CN" w:bidi="ar-SA"/>
        </w:rPr>
      </w:pPr>
    </w:p>
    <w:p w14:paraId="2C5DF8BB">
      <w:pPr>
        <w:pStyle w:val="5"/>
        <w:jc w:val="both"/>
        <w:rPr>
          <w:rFonts w:hint="eastAsia" w:ascii="Times New Roman" w:hAnsi="Times New Roman" w:eastAsia="方正小标宋简体" w:cs="Times New Roman"/>
          <w:color w:val="auto"/>
          <w:kern w:val="2"/>
          <w:sz w:val="44"/>
          <w:szCs w:val="44"/>
          <w:highlight w:val="none"/>
          <w:lang w:val="en-US" w:eastAsia="zh-CN" w:bidi="ar-SA"/>
        </w:rPr>
      </w:pPr>
      <w:bookmarkStart w:id="96" w:name="_GoBack"/>
      <w:bookmarkEnd w:id="96"/>
    </w:p>
    <w:p w14:paraId="1772766B">
      <w:pPr>
        <w:pStyle w:val="5"/>
        <w:jc w:val="center"/>
        <w:rPr>
          <w:rFonts w:hint="eastAsia" w:ascii="Times New Roman" w:hAnsi="Times New Roman" w:eastAsia="方正小标宋简体" w:cs="Times New Roman"/>
          <w:color w:val="auto"/>
          <w:kern w:val="2"/>
          <w:sz w:val="44"/>
          <w:szCs w:val="44"/>
          <w:highlight w:val="none"/>
          <w:lang w:val="en-US" w:eastAsia="zh-CN" w:bidi="ar-SA"/>
        </w:rPr>
      </w:pPr>
      <w:r>
        <w:rPr>
          <w:rFonts w:hint="eastAsia" w:ascii="Times New Roman" w:hAnsi="Times New Roman" w:eastAsia="方正小标宋简体" w:cs="Times New Roman"/>
          <w:color w:val="auto"/>
          <w:kern w:val="2"/>
          <w:sz w:val="44"/>
          <w:szCs w:val="44"/>
          <w:highlight w:val="none"/>
          <w:lang w:val="en-US" w:eastAsia="zh-CN" w:bidi="ar-SA"/>
        </w:rPr>
        <w:t>2024年度四川省</w:t>
      </w:r>
      <w:bookmarkEnd w:id="0"/>
      <w:bookmarkStart w:id="6" w:name="_Toc15306268"/>
      <w:r>
        <w:rPr>
          <w:rFonts w:hint="eastAsia" w:ascii="方正小标宋简体" w:hAnsi="宋体" w:eastAsia="方正小标宋简体"/>
          <w:sz w:val="44"/>
          <w:szCs w:val="44"/>
        </w:rPr>
        <w:t>乐山市金口河区文化广播电视体育和旅游局</w:t>
      </w:r>
      <w:r>
        <w:rPr>
          <w:rFonts w:hint="eastAsia" w:ascii="Times New Roman" w:hAnsi="Times New Roman" w:eastAsia="方正小标宋简体" w:cs="Times New Roman"/>
          <w:color w:val="auto"/>
          <w:kern w:val="2"/>
          <w:sz w:val="44"/>
          <w:szCs w:val="44"/>
          <w:highlight w:val="none"/>
          <w:lang w:val="en-US" w:eastAsia="zh-CN" w:bidi="ar-SA"/>
        </w:rPr>
        <w:t>部门决算</w:t>
      </w:r>
      <w:bookmarkEnd w:id="1"/>
      <w:bookmarkEnd w:id="2"/>
      <w:bookmarkEnd w:id="3"/>
      <w:bookmarkEnd w:id="4"/>
      <w:bookmarkEnd w:id="5"/>
      <w:bookmarkEnd w:id="6"/>
    </w:p>
    <w:p w14:paraId="5215BE2B">
      <w:pPr>
        <w:widowControl/>
        <w:jc w:val="center"/>
        <w:rPr>
          <w:rFonts w:ascii="Times New Roman" w:hAnsi="Times New Roman" w:eastAsia="黑体" w:cstheme="minorBidi"/>
          <w:color w:val="auto"/>
          <w:sz w:val="28"/>
          <w:szCs w:val="28"/>
          <w:highlight w:val="none"/>
        </w:rPr>
      </w:pPr>
      <w:r>
        <w:rPr>
          <w:rFonts w:ascii="Times New Roman" w:hAnsi="Times New Roman" w:eastAsia="方正小标宋简体"/>
          <w:color w:val="auto"/>
          <w:sz w:val="36"/>
          <w:szCs w:val="36"/>
          <w:highlight w:val="none"/>
        </w:rPr>
        <w:br w:type="page"/>
      </w:r>
      <w:r>
        <w:rPr>
          <w:rFonts w:hint="eastAsia" w:ascii="Times New Roman" w:hAnsi="Times New Roman" w:eastAsia="黑体"/>
          <w:color w:val="auto"/>
          <w:sz w:val="48"/>
          <w:szCs w:val="48"/>
          <w:highlight w:val="none"/>
        </w:rPr>
        <w:t>目录</w:t>
      </w:r>
    </w:p>
    <w:p w14:paraId="5F851A21">
      <w:pPr>
        <w:pStyle w:val="12"/>
        <w:rPr>
          <w:rFonts w:hint="eastAsia" w:ascii="Times New Roman" w:hAnsi="Times New Roman" w:eastAsia="仿宋_GB2312" w:cs="仿宋_GB2312"/>
          <w:color w:val="auto"/>
          <w:sz w:val="32"/>
          <w:szCs w:val="32"/>
          <w:highlight w:val="none"/>
        </w:rPr>
      </w:pPr>
      <w:r>
        <w:rPr>
          <w:rFonts w:hint="eastAsia" w:ascii="Times New Roman" w:hAnsi="Times New Roman" w:eastAsia="仿宋_GB2312" w:cs="仿宋_GB2312"/>
          <w:color w:val="auto"/>
          <w:sz w:val="32"/>
          <w:szCs w:val="32"/>
          <w:highlight w:val="none"/>
        </w:rPr>
        <w:t>公开时间：20</w:t>
      </w:r>
      <w:r>
        <w:rPr>
          <w:rFonts w:hint="eastAsia" w:ascii="Times New Roman" w:hAnsi="Times New Roman" w:eastAsia="仿宋_GB2312" w:cs="仿宋_GB2312"/>
          <w:color w:val="auto"/>
          <w:sz w:val="32"/>
          <w:szCs w:val="32"/>
          <w:highlight w:val="none"/>
          <w:lang w:val="en-US" w:eastAsia="zh-CN"/>
        </w:rPr>
        <w:t>25</w:t>
      </w:r>
      <w:r>
        <w:rPr>
          <w:rFonts w:hint="eastAsia" w:ascii="Times New Roman" w:hAnsi="Times New Roman" w:eastAsia="仿宋_GB2312" w:cs="仿宋_GB2312"/>
          <w:color w:val="auto"/>
          <w:sz w:val="32"/>
          <w:szCs w:val="32"/>
          <w:highlight w:val="none"/>
        </w:rPr>
        <w:t>年</w:t>
      </w:r>
      <w:r>
        <w:rPr>
          <w:rFonts w:hint="eastAsia" w:ascii="Times New Roman" w:hAnsi="Times New Roman" w:eastAsia="仿宋_GB2312" w:cs="仿宋_GB2312"/>
          <w:color w:val="auto"/>
          <w:sz w:val="32"/>
          <w:szCs w:val="32"/>
          <w:highlight w:val="none"/>
          <w:lang w:val="en-US" w:eastAsia="zh-CN"/>
        </w:rPr>
        <w:t xml:space="preserve"> 9 </w:t>
      </w:r>
      <w:r>
        <w:rPr>
          <w:rFonts w:hint="eastAsia" w:ascii="Times New Roman" w:hAnsi="Times New Roman" w:eastAsia="仿宋_GB2312" w:cs="仿宋_GB2312"/>
          <w:color w:val="auto"/>
          <w:sz w:val="32"/>
          <w:szCs w:val="32"/>
          <w:highlight w:val="none"/>
        </w:rPr>
        <w:t>月</w:t>
      </w:r>
      <w:r>
        <w:rPr>
          <w:rFonts w:hint="eastAsia" w:ascii="Times New Roman" w:hAnsi="Times New Roman" w:eastAsia="仿宋_GB2312" w:cs="仿宋_GB2312"/>
          <w:color w:val="auto"/>
          <w:sz w:val="32"/>
          <w:szCs w:val="32"/>
          <w:highlight w:val="none"/>
          <w:lang w:val="en-US" w:eastAsia="zh-CN"/>
        </w:rPr>
        <w:t xml:space="preserve"> 18 </w:t>
      </w:r>
      <w:r>
        <w:rPr>
          <w:rFonts w:hint="eastAsia" w:ascii="Times New Roman" w:hAnsi="Times New Roman" w:eastAsia="仿宋_GB2312" w:cs="仿宋_GB2312"/>
          <w:color w:val="auto"/>
          <w:sz w:val="32"/>
          <w:szCs w:val="32"/>
          <w:highlight w:val="none"/>
        </w:rPr>
        <w:t>日</w:t>
      </w:r>
    </w:p>
    <w:p w14:paraId="017EA2EB">
      <w:pPr>
        <w:rPr>
          <w:rFonts w:ascii="Times New Roman" w:hAnsi="Times New Roman"/>
          <w:color w:val="auto"/>
          <w:highlight w:val="none"/>
        </w:rPr>
      </w:pPr>
    </w:p>
    <w:p w14:paraId="47DC19D9">
      <w:pPr>
        <w:pStyle w:val="12"/>
        <w:keepNext w:val="0"/>
        <w:keepLines w:val="0"/>
        <w:pageBreakBefore w:val="0"/>
        <w:tabs>
          <w:tab w:val="right" w:leader="dot" w:pos="8306"/>
          <w:tab w:val="clear" w:pos="8296"/>
        </w:tabs>
        <w:kinsoku/>
        <w:wordWrap/>
        <w:overflowPunct/>
        <w:topLinePunct w:val="0"/>
        <w:autoSpaceDE/>
        <w:autoSpaceDN/>
        <w:bidi w:val="0"/>
        <w:adjustRightInd/>
        <w:snapToGrid/>
        <w:spacing w:before="0" w:line="380" w:lineRule="exact"/>
        <w:ind w:left="0" w:leftChars="0"/>
        <w:jc w:val="both"/>
        <w:textAlignment w:val="auto"/>
        <w:rPr>
          <w:rFonts w:hint="eastAsia" w:ascii="黑体" w:hAnsi="黑体" w:eastAsia="黑体" w:cs="黑体"/>
          <w:sz w:val="21"/>
          <w:szCs w:val="21"/>
        </w:rPr>
      </w:pPr>
      <w:r>
        <w:fldChar w:fldCharType="begin"/>
      </w:r>
      <w:r>
        <w:instrText xml:space="preserve">TOC \o "1-2" \h \u </w:instrText>
      </w:r>
      <w:r>
        <w:fldChar w:fldCharType="separate"/>
      </w:r>
      <w:r>
        <w:rPr>
          <w:rFonts w:hint="eastAsia" w:ascii="黑体" w:hAnsi="黑体" w:eastAsia="黑体" w:cs="黑体"/>
          <w:sz w:val="21"/>
          <w:szCs w:val="21"/>
        </w:rPr>
        <w:fldChar w:fldCharType="begin"/>
      </w:r>
      <w:r>
        <w:rPr>
          <w:rFonts w:hint="eastAsia" w:ascii="黑体" w:hAnsi="黑体" w:eastAsia="黑体" w:cs="黑体"/>
          <w:sz w:val="21"/>
          <w:szCs w:val="21"/>
        </w:rPr>
        <w:instrText xml:space="preserve"> HYPERLINK \l _Toc32105 </w:instrText>
      </w:r>
      <w:r>
        <w:rPr>
          <w:rFonts w:hint="eastAsia" w:ascii="黑体" w:hAnsi="黑体" w:eastAsia="黑体" w:cs="黑体"/>
          <w:sz w:val="21"/>
          <w:szCs w:val="21"/>
        </w:rPr>
        <w:fldChar w:fldCharType="separate"/>
      </w:r>
      <w:r>
        <w:rPr>
          <w:rFonts w:hint="eastAsia" w:ascii="黑体" w:hAnsi="黑体" w:eastAsia="黑体" w:cs="黑体"/>
          <w:sz w:val="21"/>
          <w:szCs w:val="21"/>
          <w:highlight w:val="none"/>
        </w:rPr>
        <w:t>第一部分</w:t>
      </w:r>
      <w:r>
        <w:rPr>
          <w:rFonts w:hint="eastAsia" w:ascii="黑体" w:hAnsi="黑体" w:eastAsia="黑体" w:cs="黑体"/>
          <w:sz w:val="21"/>
          <w:szCs w:val="21"/>
          <w:highlight w:val="none"/>
          <w:lang w:val="en-US" w:eastAsia="zh-CN"/>
        </w:rPr>
        <w:t xml:space="preserve"> </w:t>
      </w:r>
      <w:r>
        <w:rPr>
          <w:rFonts w:hint="eastAsia" w:ascii="黑体" w:hAnsi="黑体" w:eastAsia="黑体" w:cs="黑体"/>
          <w:sz w:val="21"/>
          <w:szCs w:val="21"/>
          <w:highlight w:val="none"/>
        </w:rPr>
        <w:t xml:space="preserve"> </w:t>
      </w:r>
      <w:r>
        <w:rPr>
          <w:rFonts w:hint="eastAsia" w:ascii="黑体" w:hAnsi="黑体" w:eastAsia="黑体" w:cs="黑体"/>
          <w:bCs w:val="0"/>
          <w:sz w:val="21"/>
          <w:szCs w:val="21"/>
          <w:highlight w:val="none"/>
        </w:rPr>
        <w:t>部门概况</w:t>
      </w:r>
      <w:r>
        <w:rPr>
          <w:rFonts w:hint="eastAsia" w:ascii="黑体" w:hAnsi="黑体" w:eastAsia="黑体" w:cs="黑体"/>
          <w:sz w:val="21"/>
          <w:szCs w:val="21"/>
        </w:rPr>
        <w:tab/>
      </w:r>
      <w:r>
        <w:rPr>
          <w:rFonts w:hint="eastAsia" w:ascii="黑体" w:hAnsi="黑体" w:eastAsia="黑体" w:cs="黑体"/>
          <w:sz w:val="21"/>
          <w:szCs w:val="21"/>
        </w:rPr>
        <w:fldChar w:fldCharType="begin"/>
      </w:r>
      <w:r>
        <w:rPr>
          <w:rFonts w:hint="eastAsia" w:ascii="黑体" w:hAnsi="黑体" w:eastAsia="黑体" w:cs="黑体"/>
          <w:sz w:val="21"/>
          <w:szCs w:val="21"/>
        </w:rPr>
        <w:instrText xml:space="preserve"> PAGEREF _Toc32105 \h </w:instrText>
      </w:r>
      <w:r>
        <w:rPr>
          <w:rFonts w:hint="eastAsia" w:ascii="黑体" w:hAnsi="黑体" w:eastAsia="黑体" w:cs="黑体"/>
          <w:sz w:val="21"/>
          <w:szCs w:val="21"/>
        </w:rPr>
        <w:fldChar w:fldCharType="separate"/>
      </w:r>
      <w:r>
        <w:rPr>
          <w:rFonts w:hint="eastAsia" w:ascii="黑体" w:hAnsi="黑体" w:eastAsia="黑体" w:cs="黑体"/>
          <w:sz w:val="21"/>
          <w:szCs w:val="21"/>
        </w:rPr>
        <w:t>1</w:t>
      </w:r>
      <w:r>
        <w:rPr>
          <w:rFonts w:hint="eastAsia" w:ascii="黑体" w:hAnsi="黑体" w:eastAsia="黑体" w:cs="黑体"/>
          <w:sz w:val="21"/>
          <w:szCs w:val="21"/>
        </w:rPr>
        <w:fldChar w:fldCharType="end"/>
      </w:r>
      <w:r>
        <w:rPr>
          <w:rFonts w:hint="eastAsia" w:ascii="黑体" w:hAnsi="黑体" w:eastAsia="黑体" w:cs="黑体"/>
          <w:sz w:val="21"/>
          <w:szCs w:val="21"/>
        </w:rPr>
        <w:fldChar w:fldCharType="end"/>
      </w:r>
    </w:p>
    <w:p w14:paraId="1B38515B">
      <w:pPr>
        <w:pStyle w:val="14"/>
        <w:keepNext w:val="0"/>
        <w:keepLines w:val="0"/>
        <w:pageBreakBefore w:val="0"/>
        <w:tabs>
          <w:tab w:val="right" w:leader="dot" w:pos="8306"/>
          <w:tab w:val="clear" w:pos="8296"/>
        </w:tabs>
        <w:kinsoku/>
        <w:wordWrap/>
        <w:overflowPunct/>
        <w:topLinePunct w:val="0"/>
        <w:autoSpaceDE/>
        <w:autoSpaceDN/>
        <w:bidi w:val="0"/>
        <w:adjustRightInd/>
        <w:snapToGrid/>
        <w:spacing w:line="380" w:lineRule="exact"/>
        <w:ind w:left="0" w:leftChars="0"/>
        <w:jc w:val="both"/>
        <w:textAlignment w:val="auto"/>
        <w:rPr>
          <w:rFonts w:hint="eastAsia" w:ascii="黑体" w:hAnsi="黑体" w:eastAsia="黑体" w:cs="黑体"/>
          <w:sz w:val="21"/>
          <w:szCs w:val="21"/>
        </w:rPr>
      </w:pPr>
      <w:r>
        <w:rPr>
          <w:rFonts w:hint="eastAsia" w:ascii="黑体" w:hAnsi="黑体" w:eastAsia="黑体" w:cs="黑体"/>
          <w:sz w:val="21"/>
          <w:szCs w:val="21"/>
        </w:rPr>
        <w:fldChar w:fldCharType="begin"/>
      </w:r>
      <w:r>
        <w:rPr>
          <w:rFonts w:hint="eastAsia" w:ascii="黑体" w:hAnsi="黑体" w:eastAsia="黑体" w:cs="黑体"/>
          <w:sz w:val="21"/>
          <w:szCs w:val="21"/>
        </w:rPr>
        <w:instrText xml:space="preserve"> HYPERLINK \l _Toc956 </w:instrText>
      </w:r>
      <w:r>
        <w:rPr>
          <w:rFonts w:hint="eastAsia" w:ascii="黑体" w:hAnsi="黑体" w:eastAsia="黑体" w:cs="黑体"/>
          <w:sz w:val="21"/>
          <w:szCs w:val="21"/>
        </w:rPr>
        <w:fldChar w:fldCharType="separate"/>
      </w:r>
      <w:r>
        <w:rPr>
          <w:rFonts w:hint="eastAsia" w:ascii="黑体" w:hAnsi="黑体" w:eastAsia="黑体" w:cs="黑体"/>
          <w:sz w:val="21"/>
          <w:szCs w:val="21"/>
          <w:lang w:eastAsia="zh-CN"/>
        </w:rPr>
        <w:t>一、</w:t>
      </w:r>
      <w:r>
        <w:rPr>
          <w:rFonts w:hint="eastAsia" w:ascii="黑体" w:hAnsi="黑体" w:eastAsia="黑体" w:cs="黑体"/>
          <w:sz w:val="21"/>
          <w:szCs w:val="21"/>
          <w:highlight w:val="none"/>
          <w:lang w:eastAsia="zh-CN"/>
        </w:rPr>
        <w:t>部门职责</w:t>
      </w:r>
      <w:r>
        <w:rPr>
          <w:rFonts w:hint="eastAsia" w:ascii="黑体" w:hAnsi="黑体" w:eastAsia="黑体" w:cs="黑体"/>
          <w:sz w:val="21"/>
          <w:szCs w:val="21"/>
        </w:rPr>
        <w:tab/>
      </w:r>
      <w:r>
        <w:rPr>
          <w:rFonts w:hint="eastAsia" w:ascii="黑体" w:hAnsi="黑体" w:eastAsia="黑体" w:cs="黑体"/>
          <w:sz w:val="21"/>
          <w:szCs w:val="21"/>
        </w:rPr>
        <w:fldChar w:fldCharType="begin"/>
      </w:r>
      <w:r>
        <w:rPr>
          <w:rFonts w:hint="eastAsia" w:ascii="黑体" w:hAnsi="黑体" w:eastAsia="黑体" w:cs="黑体"/>
          <w:sz w:val="21"/>
          <w:szCs w:val="21"/>
        </w:rPr>
        <w:instrText xml:space="preserve"> PAGEREF _Toc956 \h </w:instrText>
      </w:r>
      <w:r>
        <w:rPr>
          <w:rFonts w:hint="eastAsia" w:ascii="黑体" w:hAnsi="黑体" w:eastAsia="黑体" w:cs="黑体"/>
          <w:sz w:val="21"/>
          <w:szCs w:val="21"/>
        </w:rPr>
        <w:fldChar w:fldCharType="separate"/>
      </w:r>
      <w:r>
        <w:rPr>
          <w:rFonts w:hint="eastAsia" w:ascii="黑体" w:hAnsi="黑体" w:eastAsia="黑体" w:cs="黑体"/>
          <w:sz w:val="21"/>
          <w:szCs w:val="21"/>
        </w:rPr>
        <w:t>1</w:t>
      </w:r>
      <w:r>
        <w:rPr>
          <w:rFonts w:hint="eastAsia" w:ascii="黑体" w:hAnsi="黑体" w:eastAsia="黑体" w:cs="黑体"/>
          <w:sz w:val="21"/>
          <w:szCs w:val="21"/>
        </w:rPr>
        <w:fldChar w:fldCharType="end"/>
      </w:r>
      <w:r>
        <w:rPr>
          <w:rFonts w:hint="eastAsia" w:ascii="黑体" w:hAnsi="黑体" w:eastAsia="黑体" w:cs="黑体"/>
          <w:sz w:val="21"/>
          <w:szCs w:val="21"/>
        </w:rPr>
        <w:fldChar w:fldCharType="end"/>
      </w:r>
    </w:p>
    <w:p w14:paraId="2A5A0B91">
      <w:pPr>
        <w:pStyle w:val="14"/>
        <w:keepNext w:val="0"/>
        <w:keepLines w:val="0"/>
        <w:pageBreakBefore w:val="0"/>
        <w:tabs>
          <w:tab w:val="right" w:leader="dot" w:pos="8306"/>
          <w:tab w:val="clear" w:pos="8296"/>
        </w:tabs>
        <w:kinsoku/>
        <w:wordWrap/>
        <w:overflowPunct/>
        <w:topLinePunct w:val="0"/>
        <w:autoSpaceDE/>
        <w:autoSpaceDN/>
        <w:bidi w:val="0"/>
        <w:adjustRightInd/>
        <w:snapToGrid/>
        <w:spacing w:line="380" w:lineRule="exact"/>
        <w:ind w:left="0" w:leftChars="0"/>
        <w:jc w:val="both"/>
        <w:textAlignment w:val="auto"/>
        <w:rPr>
          <w:rFonts w:hint="eastAsia" w:ascii="黑体" w:hAnsi="黑体" w:eastAsia="黑体" w:cs="黑体"/>
          <w:sz w:val="21"/>
          <w:szCs w:val="21"/>
        </w:rPr>
      </w:pPr>
      <w:r>
        <w:rPr>
          <w:rFonts w:hint="eastAsia" w:ascii="黑体" w:hAnsi="黑体" w:eastAsia="黑体" w:cs="黑体"/>
          <w:sz w:val="21"/>
          <w:szCs w:val="21"/>
        </w:rPr>
        <w:fldChar w:fldCharType="begin"/>
      </w:r>
      <w:r>
        <w:rPr>
          <w:rFonts w:hint="eastAsia" w:ascii="黑体" w:hAnsi="黑体" w:eastAsia="黑体" w:cs="黑体"/>
          <w:sz w:val="21"/>
          <w:szCs w:val="21"/>
        </w:rPr>
        <w:instrText xml:space="preserve"> HYPERLINK \l _Toc25251 </w:instrText>
      </w:r>
      <w:r>
        <w:rPr>
          <w:rFonts w:hint="eastAsia" w:ascii="黑体" w:hAnsi="黑体" w:eastAsia="黑体" w:cs="黑体"/>
          <w:sz w:val="21"/>
          <w:szCs w:val="21"/>
        </w:rPr>
        <w:fldChar w:fldCharType="separate"/>
      </w:r>
      <w:r>
        <w:rPr>
          <w:rFonts w:hint="eastAsia" w:ascii="黑体" w:hAnsi="黑体" w:eastAsia="黑体" w:cs="黑体"/>
          <w:sz w:val="21"/>
          <w:szCs w:val="21"/>
          <w:highlight w:val="none"/>
        </w:rPr>
        <w:t>二、机</w:t>
      </w:r>
      <w:r>
        <w:rPr>
          <w:rFonts w:hint="eastAsia" w:ascii="黑体" w:hAnsi="黑体" w:eastAsia="黑体" w:cs="黑体"/>
          <w:bCs w:val="0"/>
          <w:sz w:val="21"/>
          <w:szCs w:val="21"/>
          <w:highlight w:val="none"/>
        </w:rPr>
        <w:t>构设置</w:t>
      </w:r>
      <w:r>
        <w:rPr>
          <w:rFonts w:hint="eastAsia" w:ascii="黑体" w:hAnsi="黑体" w:eastAsia="黑体" w:cs="黑体"/>
          <w:sz w:val="21"/>
          <w:szCs w:val="21"/>
        </w:rPr>
        <w:tab/>
      </w:r>
      <w:r>
        <w:rPr>
          <w:rFonts w:hint="eastAsia" w:ascii="黑体" w:hAnsi="黑体" w:eastAsia="黑体" w:cs="黑体"/>
          <w:sz w:val="21"/>
          <w:szCs w:val="21"/>
        </w:rPr>
        <w:fldChar w:fldCharType="begin"/>
      </w:r>
      <w:r>
        <w:rPr>
          <w:rFonts w:hint="eastAsia" w:ascii="黑体" w:hAnsi="黑体" w:eastAsia="黑体" w:cs="黑体"/>
          <w:sz w:val="21"/>
          <w:szCs w:val="21"/>
        </w:rPr>
        <w:instrText xml:space="preserve"> PAGEREF _Toc25251 \h </w:instrText>
      </w:r>
      <w:r>
        <w:rPr>
          <w:rFonts w:hint="eastAsia" w:ascii="黑体" w:hAnsi="黑体" w:eastAsia="黑体" w:cs="黑体"/>
          <w:sz w:val="21"/>
          <w:szCs w:val="21"/>
        </w:rPr>
        <w:fldChar w:fldCharType="separate"/>
      </w:r>
      <w:r>
        <w:rPr>
          <w:rFonts w:hint="eastAsia" w:ascii="黑体" w:hAnsi="黑体" w:eastAsia="黑体" w:cs="黑体"/>
          <w:sz w:val="21"/>
          <w:szCs w:val="21"/>
        </w:rPr>
        <w:t>4</w:t>
      </w:r>
      <w:r>
        <w:rPr>
          <w:rFonts w:hint="eastAsia" w:ascii="黑体" w:hAnsi="黑体" w:eastAsia="黑体" w:cs="黑体"/>
          <w:sz w:val="21"/>
          <w:szCs w:val="21"/>
        </w:rPr>
        <w:fldChar w:fldCharType="end"/>
      </w:r>
      <w:r>
        <w:rPr>
          <w:rFonts w:hint="eastAsia" w:ascii="黑体" w:hAnsi="黑体" w:eastAsia="黑体" w:cs="黑体"/>
          <w:sz w:val="21"/>
          <w:szCs w:val="21"/>
        </w:rPr>
        <w:fldChar w:fldCharType="end"/>
      </w:r>
    </w:p>
    <w:p w14:paraId="55F648B7">
      <w:pPr>
        <w:pStyle w:val="12"/>
        <w:keepNext w:val="0"/>
        <w:keepLines w:val="0"/>
        <w:pageBreakBefore w:val="0"/>
        <w:tabs>
          <w:tab w:val="right" w:leader="dot" w:pos="8306"/>
          <w:tab w:val="clear" w:pos="8296"/>
        </w:tabs>
        <w:kinsoku/>
        <w:wordWrap/>
        <w:overflowPunct/>
        <w:topLinePunct w:val="0"/>
        <w:autoSpaceDE/>
        <w:autoSpaceDN/>
        <w:bidi w:val="0"/>
        <w:adjustRightInd/>
        <w:snapToGrid/>
        <w:spacing w:before="0" w:line="380" w:lineRule="exact"/>
        <w:ind w:left="0" w:leftChars="0"/>
        <w:jc w:val="both"/>
        <w:textAlignment w:val="auto"/>
        <w:rPr>
          <w:rFonts w:hint="eastAsia" w:ascii="黑体" w:hAnsi="黑体" w:eastAsia="黑体" w:cs="黑体"/>
          <w:sz w:val="21"/>
          <w:szCs w:val="21"/>
        </w:rPr>
      </w:pPr>
      <w:r>
        <w:rPr>
          <w:rFonts w:hint="eastAsia" w:ascii="黑体" w:hAnsi="黑体" w:eastAsia="黑体" w:cs="黑体"/>
          <w:sz w:val="21"/>
          <w:szCs w:val="21"/>
        </w:rPr>
        <w:fldChar w:fldCharType="begin"/>
      </w:r>
      <w:r>
        <w:rPr>
          <w:rFonts w:hint="eastAsia" w:ascii="黑体" w:hAnsi="黑体" w:eastAsia="黑体" w:cs="黑体"/>
          <w:sz w:val="21"/>
          <w:szCs w:val="21"/>
        </w:rPr>
        <w:instrText xml:space="preserve"> HYPERLINK \l _Toc4027 </w:instrText>
      </w:r>
      <w:r>
        <w:rPr>
          <w:rFonts w:hint="eastAsia" w:ascii="黑体" w:hAnsi="黑体" w:eastAsia="黑体" w:cs="黑体"/>
          <w:sz w:val="21"/>
          <w:szCs w:val="21"/>
        </w:rPr>
        <w:fldChar w:fldCharType="separate"/>
      </w:r>
      <w:r>
        <w:rPr>
          <w:rFonts w:hint="eastAsia" w:ascii="黑体" w:hAnsi="黑体" w:eastAsia="黑体" w:cs="黑体"/>
          <w:sz w:val="21"/>
          <w:szCs w:val="21"/>
          <w:highlight w:val="none"/>
        </w:rPr>
        <w:t>第二部分</w:t>
      </w:r>
      <w:r>
        <w:rPr>
          <w:rFonts w:hint="eastAsia" w:ascii="黑体" w:hAnsi="黑体" w:eastAsia="黑体" w:cs="黑体"/>
          <w:sz w:val="21"/>
          <w:szCs w:val="21"/>
          <w:highlight w:val="none"/>
          <w:lang w:val="en-US" w:eastAsia="zh-CN"/>
        </w:rPr>
        <w:t xml:space="preserve"> </w:t>
      </w:r>
      <w:r>
        <w:rPr>
          <w:rFonts w:hint="eastAsia" w:ascii="黑体" w:hAnsi="黑体" w:eastAsia="黑体" w:cs="黑体"/>
          <w:sz w:val="21"/>
          <w:szCs w:val="21"/>
          <w:highlight w:val="none"/>
        </w:rPr>
        <w:t xml:space="preserve"> </w:t>
      </w:r>
      <w:r>
        <w:rPr>
          <w:rFonts w:hint="eastAsia" w:ascii="黑体" w:hAnsi="黑体" w:eastAsia="黑体" w:cs="黑体"/>
          <w:sz w:val="21"/>
          <w:szCs w:val="21"/>
          <w:highlight w:val="none"/>
          <w:lang w:val="en-US" w:eastAsia="zh-CN"/>
        </w:rPr>
        <w:t>2024年度</w:t>
      </w:r>
      <w:r>
        <w:rPr>
          <w:rFonts w:hint="eastAsia" w:ascii="黑体" w:hAnsi="黑体" w:eastAsia="黑体" w:cs="黑体"/>
          <w:sz w:val="21"/>
          <w:szCs w:val="21"/>
          <w:highlight w:val="none"/>
        </w:rPr>
        <w:t>部门决算情况说明</w:t>
      </w:r>
      <w:r>
        <w:rPr>
          <w:rFonts w:hint="eastAsia" w:ascii="黑体" w:hAnsi="黑体" w:eastAsia="黑体" w:cs="黑体"/>
          <w:sz w:val="21"/>
          <w:szCs w:val="21"/>
        </w:rPr>
        <w:tab/>
      </w:r>
      <w:r>
        <w:rPr>
          <w:rFonts w:hint="eastAsia" w:ascii="黑体" w:hAnsi="黑体" w:eastAsia="黑体" w:cs="黑体"/>
          <w:sz w:val="21"/>
          <w:szCs w:val="21"/>
        </w:rPr>
        <w:fldChar w:fldCharType="begin"/>
      </w:r>
      <w:r>
        <w:rPr>
          <w:rFonts w:hint="eastAsia" w:ascii="黑体" w:hAnsi="黑体" w:eastAsia="黑体" w:cs="黑体"/>
          <w:sz w:val="21"/>
          <w:szCs w:val="21"/>
        </w:rPr>
        <w:instrText xml:space="preserve"> PAGEREF _Toc4027 \h </w:instrText>
      </w:r>
      <w:r>
        <w:rPr>
          <w:rFonts w:hint="eastAsia" w:ascii="黑体" w:hAnsi="黑体" w:eastAsia="黑体" w:cs="黑体"/>
          <w:sz w:val="21"/>
          <w:szCs w:val="21"/>
        </w:rPr>
        <w:fldChar w:fldCharType="separate"/>
      </w:r>
      <w:r>
        <w:rPr>
          <w:rFonts w:hint="eastAsia" w:ascii="黑体" w:hAnsi="黑体" w:eastAsia="黑体" w:cs="黑体"/>
          <w:sz w:val="21"/>
          <w:szCs w:val="21"/>
        </w:rPr>
        <w:t>5</w:t>
      </w:r>
      <w:r>
        <w:rPr>
          <w:rFonts w:hint="eastAsia" w:ascii="黑体" w:hAnsi="黑体" w:eastAsia="黑体" w:cs="黑体"/>
          <w:sz w:val="21"/>
          <w:szCs w:val="21"/>
        </w:rPr>
        <w:fldChar w:fldCharType="end"/>
      </w:r>
      <w:r>
        <w:rPr>
          <w:rFonts w:hint="eastAsia" w:ascii="黑体" w:hAnsi="黑体" w:eastAsia="黑体" w:cs="黑体"/>
          <w:sz w:val="21"/>
          <w:szCs w:val="21"/>
        </w:rPr>
        <w:fldChar w:fldCharType="end"/>
      </w:r>
    </w:p>
    <w:p w14:paraId="0EDD9EA0">
      <w:pPr>
        <w:pStyle w:val="14"/>
        <w:keepNext w:val="0"/>
        <w:keepLines w:val="0"/>
        <w:pageBreakBefore w:val="0"/>
        <w:tabs>
          <w:tab w:val="right" w:leader="dot" w:pos="8306"/>
          <w:tab w:val="clear" w:pos="8296"/>
        </w:tabs>
        <w:kinsoku/>
        <w:wordWrap/>
        <w:overflowPunct/>
        <w:topLinePunct w:val="0"/>
        <w:autoSpaceDE/>
        <w:autoSpaceDN/>
        <w:bidi w:val="0"/>
        <w:adjustRightInd/>
        <w:snapToGrid/>
        <w:spacing w:line="380" w:lineRule="exact"/>
        <w:ind w:left="0" w:leftChars="0"/>
        <w:jc w:val="both"/>
        <w:textAlignment w:val="auto"/>
        <w:rPr>
          <w:rFonts w:hint="eastAsia" w:ascii="黑体" w:hAnsi="黑体" w:eastAsia="黑体" w:cs="黑体"/>
          <w:sz w:val="21"/>
          <w:szCs w:val="21"/>
        </w:rPr>
      </w:pPr>
      <w:r>
        <w:rPr>
          <w:rFonts w:hint="eastAsia" w:ascii="黑体" w:hAnsi="黑体" w:eastAsia="黑体" w:cs="黑体"/>
          <w:sz w:val="21"/>
          <w:szCs w:val="21"/>
        </w:rPr>
        <w:fldChar w:fldCharType="begin"/>
      </w:r>
      <w:r>
        <w:rPr>
          <w:rFonts w:hint="eastAsia" w:ascii="黑体" w:hAnsi="黑体" w:eastAsia="黑体" w:cs="黑体"/>
          <w:sz w:val="21"/>
          <w:szCs w:val="21"/>
        </w:rPr>
        <w:instrText xml:space="preserve"> HYPERLINK \l _Toc3260 </w:instrText>
      </w:r>
      <w:r>
        <w:rPr>
          <w:rFonts w:hint="eastAsia" w:ascii="黑体" w:hAnsi="黑体" w:eastAsia="黑体" w:cs="黑体"/>
          <w:sz w:val="21"/>
          <w:szCs w:val="21"/>
        </w:rPr>
        <w:fldChar w:fldCharType="separate"/>
      </w:r>
      <w:r>
        <w:rPr>
          <w:rFonts w:hint="eastAsia" w:ascii="黑体" w:hAnsi="黑体" w:eastAsia="黑体" w:cs="黑体"/>
          <w:sz w:val="21"/>
          <w:szCs w:val="21"/>
          <w:highlight w:val="none"/>
          <w:lang w:eastAsia="zh-CN"/>
        </w:rPr>
        <w:t>一、</w:t>
      </w:r>
      <w:r>
        <w:rPr>
          <w:rFonts w:hint="eastAsia" w:ascii="黑体" w:hAnsi="黑体" w:eastAsia="黑体" w:cs="黑体"/>
          <w:sz w:val="21"/>
          <w:szCs w:val="21"/>
          <w:highlight w:val="none"/>
        </w:rPr>
        <w:t>收入支出决算总体情况说明</w:t>
      </w:r>
      <w:r>
        <w:rPr>
          <w:rFonts w:hint="eastAsia" w:ascii="黑体" w:hAnsi="黑体" w:eastAsia="黑体" w:cs="黑体"/>
          <w:sz w:val="21"/>
          <w:szCs w:val="21"/>
        </w:rPr>
        <w:tab/>
      </w:r>
      <w:r>
        <w:rPr>
          <w:rFonts w:hint="eastAsia" w:ascii="黑体" w:hAnsi="黑体" w:eastAsia="黑体" w:cs="黑体"/>
          <w:sz w:val="21"/>
          <w:szCs w:val="21"/>
        </w:rPr>
        <w:fldChar w:fldCharType="begin"/>
      </w:r>
      <w:r>
        <w:rPr>
          <w:rFonts w:hint="eastAsia" w:ascii="黑体" w:hAnsi="黑体" w:eastAsia="黑体" w:cs="黑体"/>
          <w:sz w:val="21"/>
          <w:szCs w:val="21"/>
        </w:rPr>
        <w:instrText xml:space="preserve"> PAGEREF _Toc3260 \h </w:instrText>
      </w:r>
      <w:r>
        <w:rPr>
          <w:rFonts w:hint="eastAsia" w:ascii="黑体" w:hAnsi="黑体" w:eastAsia="黑体" w:cs="黑体"/>
          <w:sz w:val="21"/>
          <w:szCs w:val="21"/>
        </w:rPr>
        <w:fldChar w:fldCharType="separate"/>
      </w:r>
      <w:r>
        <w:rPr>
          <w:rFonts w:hint="eastAsia" w:ascii="黑体" w:hAnsi="黑体" w:eastAsia="黑体" w:cs="黑体"/>
          <w:sz w:val="21"/>
          <w:szCs w:val="21"/>
        </w:rPr>
        <w:t>5</w:t>
      </w:r>
      <w:r>
        <w:rPr>
          <w:rFonts w:hint="eastAsia" w:ascii="黑体" w:hAnsi="黑体" w:eastAsia="黑体" w:cs="黑体"/>
          <w:sz w:val="21"/>
          <w:szCs w:val="21"/>
        </w:rPr>
        <w:fldChar w:fldCharType="end"/>
      </w:r>
      <w:r>
        <w:rPr>
          <w:rFonts w:hint="eastAsia" w:ascii="黑体" w:hAnsi="黑体" w:eastAsia="黑体" w:cs="黑体"/>
          <w:sz w:val="21"/>
          <w:szCs w:val="21"/>
        </w:rPr>
        <w:fldChar w:fldCharType="end"/>
      </w:r>
    </w:p>
    <w:p w14:paraId="07EB0784">
      <w:pPr>
        <w:pStyle w:val="14"/>
        <w:keepNext w:val="0"/>
        <w:keepLines w:val="0"/>
        <w:pageBreakBefore w:val="0"/>
        <w:tabs>
          <w:tab w:val="right" w:leader="dot" w:pos="8306"/>
          <w:tab w:val="clear" w:pos="8296"/>
        </w:tabs>
        <w:kinsoku/>
        <w:wordWrap/>
        <w:overflowPunct/>
        <w:topLinePunct w:val="0"/>
        <w:autoSpaceDE/>
        <w:autoSpaceDN/>
        <w:bidi w:val="0"/>
        <w:adjustRightInd/>
        <w:snapToGrid/>
        <w:spacing w:line="380" w:lineRule="exact"/>
        <w:ind w:left="0" w:leftChars="0"/>
        <w:jc w:val="both"/>
        <w:textAlignment w:val="auto"/>
        <w:rPr>
          <w:rFonts w:hint="eastAsia" w:ascii="黑体" w:hAnsi="黑体" w:eastAsia="黑体" w:cs="黑体"/>
          <w:sz w:val="21"/>
          <w:szCs w:val="21"/>
        </w:rPr>
      </w:pPr>
      <w:r>
        <w:rPr>
          <w:rFonts w:hint="eastAsia" w:ascii="黑体" w:hAnsi="黑体" w:eastAsia="黑体" w:cs="黑体"/>
          <w:sz w:val="21"/>
          <w:szCs w:val="21"/>
        </w:rPr>
        <w:fldChar w:fldCharType="begin"/>
      </w:r>
      <w:r>
        <w:rPr>
          <w:rFonts w:hint="eastAsia" w:ascii="黑体" w:hAnsi="黑体" w:eastAsia="黑体" w:cs="黑体"/>
          <w:sz w:val="21"/>
          <w:szCs w:val="21"/>
        </w:rPr>
        <w:instrText xml:space="preserve"> HYPERLINK \l _Toc9162 </w:instrText>
      </w:r>
      <w:r>
        <w:rPr>
          <w:rFonts w:hint="eastAsia" w:ascii="黑体" w:hAnsi="黑体" w:eastAsia="黑体" w:cs="黑体"/>
          <w:sz w:val="21"/>
          <w:szCs w:val="21"/>
        </w:rPr>
        <w:fldChar w:fldCharType="separate"/>
      </w:r>
      <w:r>
        <w:rPr>
          <w:rFonts w:hint="eastAsia" w:ascii="黑体" w:hAnsi="黑体" w:eastAsia="黑体" w:cs="黑体"/>
          <w:sz w:val="21"/>
          <w:szCs w:val="21"/>
          <w:lang w:eastAsia="zh-CN"/>
        </w:rPr>
        <w:t>二、收入决算情况说明</w:t>
      </w:r>
      <w:r>
        <w:rPr>
          <w:rFonts w:hint="eastAsia" w:ascii="黑体" w:hAnsi="黑体" w:eastAsia="黑体" w:cs="黑体"/>
          <w:sz w:val="21"/>
          <w:szCs w:val="21"/>
        </w:rPr>
        <w:tab/>
      </w:r>
      <w:r>
        <w:rPr>
          <w:rFonts w:hint="eastAsia" w:ascii="黑体" w:hAnsi="黑体" w:eastAsia="黑体" w:cs="黑体"/>
          <w:sz w:val="21"/>
          <w:szCs w:val="21"/>
        </w:rPr>
        <w:fldChar w:fldCharType="begin"/>
      </w:r>
      <w:r>
        <w:rPr>
          <w:rFonts w:hint="eastAsia" w:ascii="黑体" w:hAnsi="黑体" w:eastAsia="黑体" w:cs="黑体"/>
          <w:sz w:val="21"/>
          <w:szCs w:val="21"/>
        </w:rPr>
        <w:instrText xml:space="preserve"> PAGEREF _Toc9162 \h </w:instrText>
      </w:r>
      <w:r>
        <w:rPr>
          <w:rFonts w:hint="eastAsia" w:ascii="黑体" w:hAnsi="黑体" w:eastAsia="黑体" w:cs="黑体"/>
          <w:sz w:val="21"/>
          <w:szCs w:val="21"/>
        </w:rPr>
        <w:fldChar w:fldCharType="separate"/>
      </w:r>
      <w:r>
        <w:rPr>
          <w:rFonts w:hint="eastAsia" w:ascii="黑体" w:hAnsi="黑体" w:eastAsia="黑体" w:cs="黑体"/>
          <w:sz w:val="21"/>
          <w:szCs w:val="21"/>
        </w:rPr>
        <w:t>5</w:t>
      </w:r>
      <w:r>
        <w:rPr>
          <w:rFonts w:hint="eastAsia" w:ascii="黑体" w:hAnsi="黑体" w:eastAsia="黑体" w:cs="黑体"/>
          <w:sz w:val="21"/>
          <w:szCs w:val="21"/>
        </w:rPr>
        <w:fldChar w:fldCharType="end"/>
      </w:r>
      <w:r>
        <w:rPr>
          <w:rFonts w:hint="eastAsia" w:ascii="黑体" w:hAnsi="黑体" w:eastAsia="黑体" w:cs="黑体"/>
          <w:sz w:val="21"/>
          <w:szCs w:val="21"/>
        </w:rPr>
        <w:fldChar w:fldCharType="end"/>
      </w:r>
    </w:p>
    <w:p w14:paraId="64A14BA3">
      <w:pPr>
        <w:pStyle w:val="14"/>
        <w:keepNext w:val="0"/>
        <w:keepLines w:val="0"/>
        <w:pageBreakBefore w:val="0"/>
        <w:tabs>
          <w:tab w:val="right" w:leader="dot" w:pos="8306"/>
          <w:tab w:val="clear" w:pos="8296"/>
        </w:tabs>
        <w:kinsoku/>
        <w:wordWrap/>
        <w:overflowPunct/>
        <w:topLinePunct w:val="0"/>
        <w:autoSpaceDE/>
        <w:autoSpaceDN/>
        <w:bidi w:val="0"/>
        <w:adjustRightInd/>
        <w:snapToGrid/>
        <w:spacing w:line="380" w:lineRule="exact"/>
        <w:ind w:left="0" w:leftChars="0"/>
        <w:jc w:val="both"/>
        <w:textAlignment w:val="auto"/>
        <w:rPr>
          <w:rFonts w:hint="eastAsia" w:ascii="黑体" w:hAnsi="黑体" w:eastAsia="黑体" w:cs="黑体"/>
          <w:sz w:val="21"/>
          <w:szCs w:val="21"/>
        </w:rPr>
      </w:pPr>
      <w:r>
        <w:rPr>
          <w:rFonts w:hint="eastAsia" w:ascii="黑体" w:hAnsi="黑体" w:eastAsia="黑体" w:cs="黑体"/>
          <w:sz w:val="21"/>
          <w:szCs w:val="21"/>
        </w:rPr>
        <w:fldChar w:fldCharType="begin"/>
      </w:r>
      <w:r>
        <w:rPr>
          <w:rFonts w:hint="eastAsia" w:ascii="黑体" w:hAnsi="黑体" w:eastAsia="黑体" w:cs="黑体"/>
          <w:sz w:val="21"/>
          <w:szCs w:val="21"/>
        </w:rPr>
        <w:instrText xml:space="preserve"> HYPERLINK \l _Toc18348 </w:instrText>
      </w:r>
      <w:r>
        <w:rPr>
          <w:rFonts w:hint="eastAsia" w:ascii="黑体" w:hAnsi="黑体" w:eastAsia="黑体" w:cs="黑体"/>
          <w:sz w:val="21"/>
          <w:szCs w:val="21"/>
        </w:rPr>
        <w:fldChar w:fldCharType="separate"/>
      </w:r>
      <w:r>
        <w:rPr>
          <w:rFonts w:hint="eastAsia" w:ascii="黑体" w:hAnsi="黑体" w:eastAsia="黑体" w:cs="黑体"/>
          <w:sz w:val="21"/>
          <w:szCs w:val="21"/>
          <w:lang w:eastAsia="zh-CN"/>
        </w:rPr>
        <w:t>三、</w:t>
      </w:r>
      <w:r>
        <w:rPr>
          <w:rFonts w:hint="eastAsia" w:ascii="黑体" w:hAnsi="黑体" w:eastAsia="黑体" w:cs="黑体"/>
          <w:sz w:val="21"/>
          <w:szCs w:val="21"/>
        </w:rPr>
        <w:t>支出决算情况说明</w:t>
      </w:r>
      <w:r>
        <w:rPr>
          <w:rFonts w:hint="eastAsia" w:ascii="黑体" w:hAnsi="黑体" w:eastAsia="黑体" w:cs="黑体"/>
          <w:sz w:val="21"/>
          <w:szCs w:val="21"/>
        </w:rPr>
        <w:tab/>
      </w:r>
      <w:r>
        <w:rPr>
          <w:rFonts w:hint="eastAsia" w:ascii="黑体" w:hAnsi="黑体" w:eastAsia="黑体" w:cs="黑体"/>
          <w:sz w:val="21"/>
          <w:szCs w:val="21"/>
        </w:rPr>
        <w:fldChar w:fldCharType="begin"/>
      </w:r>
      <w:r>
        <w:rPr>
          <w:rFonts w:hint="eastAsia" w:ascii="黑体" w:hAnsi="黑体" w:eastAsia="黑体" w:cs="黑体"/>
          <w:sz w:val="21"/>
          <w:szCs w:val="21"/>
        </w:rPr>
        <w:instrText xml:space="preserve"> PAGEREF _Toc18348 \h </w:instrText>
      </w:r>
      <w:r>
        <w:rPr>
          <w:rFonts w:hint="eastAsia" w:ascii="黑体" w:hAnsi="黑体" w:eastAsia="黑体" w:cs="黑体"/>
          <w:sz w:val="21"/>
          <w:szCs w:val="21"/>
        </w:rPr>
        <w:fldChar w:fldCharType="separate"/>
      </w:r>
      <w:r>
        <w:rPr>
          <w:rFonts w:hint="eastAsia" w:ascii="黑体" w:hAnsi="黑体" w:eastAsia="黑体" w:cs="黑体"/>
          <w:sz w:val="21"/>
          <w:szCs w:val="21"/>
        </w:rPr>
        <w:t>6</w:t>
      </w:r>
      <w:r>
        <w:rPr>
          <w:rFonts w:hint="eastAsia" w:ascii="黑体" w:hAnsi="黑体" w:eastAsia="黑体" w:cs="黑体"/>
          <w:sz w:val="21"/>
          <w:szCs w:val="21"/>
        </w:rPr>
        <w:fldChar w:fldCharType="end"/>
      </w:r>
      <w:r>
        <w:rPr>
          <w:rFonts w:hint="eastAsia" w:ascii="黑体" w:hAnsi="黑体" w:eastAsia="黑体" w:cs="黑体"/>
          <w:sz w:val="21"/>
          <w:szCs w:val="21"/>
        </w:rPr>
        <w:fldChar w:fldCharType="end"/>
      </w:r>
    </w:p>
    <w:p w14:paraId="5DAE429E">
      <w:pPr>
        <w:pStyle w:val="14"/>
        <w:keepNext w:val="0"/>
        <w:keepLines w:val="0"/>
        <w:pageBreakBefore w:val="0"/>
        <w:tabs>
          <w:tab w:val="right" w:leader="dot" w:pos="8306"/>
          <w:tab w:val="clear" w:pos="8296"/>
        </w:tabs>
        <w:kinsoku/>
        <w:wordWrap/>
        <w:overflowPunct/>
        <w:topLinePunct w:val="0"/>
        <w:autoSpaceDE/>
        <w:autoSpaceDN/>
        <w:bidi w:val="0"/>
        <w:adjustRightInd/>
        <w:snapToGrid/>
        <w:spacing w:line="380" w:lineRule="exact"/>
        <w:ind w:left="0" w:leftChars="0"/>
        <w:jc w:val="both"/>
        <w:textAlignment w:val="auto"/>
        <w:rPr>
          <w:rFonts w:hint="eastAsia" w:ascii="黑体" w:hAnsi="黑体" w:eastAsia="黑体" w:cs="黑体"/>
          <w:sz w:val="21"/>
          <w:szCs w:val="21"/>
        </w:rPr>
      </w:pPr>
      <w:r>
        <w:rPr>
          <w:rFonts w:hint="eastAsia" w:ascii="黑体" w:hAnsi="黑体" w:eastAsia="黑体" w:cs="黑体"/>
          <w:sz w:val="21"/>
          <w:szCs w:val="21"/>
        </w:rPr>
        <w:fldChar w:fldCharType="begin"/>
      </w:r>
      <w:r>
        <w:rPr>
          <w:rFonts w:hint="eastAsia" w:ascii="黑体" w:hAnsi="黑体" w:eastAsia="黑体" w:cs="黑体"/>
          <w:sz w:val="21"/>
          <w:szCs w:val="21"/>
        </w:rPr>
        <w:instrText xml:space="preserve"> HYPERLINK \l _Toc12090 </w:instrText>
      </w:r>
      <w:r>
        <w:rPr>
          <w:rFonts w:hint="eastAsia" w:ascii="黑体" w:hAnsi="黑体" w:eastAsia="黑体" w:cs="黑体"/>
          <w:sz w:val="21"/>
          <w:szCs w:val="21"/>
        </w:rPr>
        <w:fldChar w:fldCharType="separate"/>
      </w:r>
      <w:r>
        <w:rPr>
          <w:rFonts w:hint="eastAsia" w:ascii="黑体" w:hAnsi="黑体" w:eastAsia="黑体" w:cs="黑体"/>
          <w:sz w:val="21"/>
          <w:szCs w:val="21"/>
          <w:highlight w:val="none"/>
        </w:rPr>
        <w:t>四、财</w:t>
      </w:r>
      <w:r>
        <w:rPr>
          <w:rFonts w:hint="eastAsia" w:ascii="黑体" w:hAnsi="黑体" w:eastAsia="黑体" w:cs="黑体"/>
          <w:bCs/>
          <w:sz w:val="21"/>
          <w:szCs w:val="21"/>
          <w:highlight w:val="none"/>
        </w:rPr>
        <w:t>政拨款收入支出决算总体情况说明</w:t>
      </w:r>
      <w:r>
        <w:rPr>
          <w:rFonts w:hint="eastAsia" w:ascii="黑体" w:hAnsi="黑体" w:eastAsia="黑体" w:cs="黑体"/>
          <w:sz w:val="21"/>
          <w:szCs w:val="21"/>
        </w:rPr>
        <w:tab/>
      </w:r>
      <w:r>
        <w:rPr>
          <w:rFonts w:hint="eastAsia" w:ascii="黑体" w:hAnsi="黑体" w:eastAsia="黑体" w:cs="黑体"/>
          <w:sz w:val="21"/>
          <w:szCs w:val="21"/>
        </w:rPr>
        <w:fldChar w:fldCharType="begin"/>
      </w:r>
      <w:r>
        <w:rPr>
          <w:rFonts w:hint="eastAsia" w:ascii="黑体" w:hAnsi="黑体" w:eastAsia="黑体" w:cs="黑体"/>
          <w:sz w:val="21"/>
          <w:szCs w:val="21"/>
        </w:rPr>
        <w:instrText xml:space="preserve"> PAGEREF _Toc12090 \h </w:instrText>
      </w:r>
      <w:r>
        <w:rPr>
          <w:rFonts w:hint="eastAsia" w:ascii="黑体" w:hAnsi="黑体" w:eastAsia="黑体" w:cs="黑体"/>
          <w:sz w:val="21"/>
          <w:szCs w:val="21"/>
        </w:rPr>
        <w:fldChar w:fldCharType="separate"/>
      </w:r>
      <w:r>
        <w:rPr>
          <w:rFonts w:hint="eastAsia" w:ascii="黑体" w:hAnsi="黑体" w:eastAsia="黑体" w:cs="黑体"/>
          <w:sz w:val="21"/>
          <w:szCs w:val="21"/>
        </w:rPr>
        <w:t>6</w:t>
      </w:r>
      <w:r>
        <w:rPr>
          <w:rFonts w:hint="eastAsia" w:ascii="黑体" w:hAnsi="黑体" w:eastAsia="黑体" w:cs="黑体"/>
          <w:sz w:val="21"/>
          <w:szCs w:val="21"/>
        </w:rPr>
        <w:fldChar w:fldCharType="end"/>
      </w:r>
      <w:r>
        <w:rPr>
          <w:rFonts w:hint="eastAsia" w:ascii="黑体" w:hAnsi="黑体" w:eastAsia="黑体" w:cs="黑体"/>
          <w:sz w:val="21"/>
          <w:szCs w:val="21"/>
        </w:rPr>
        <w:fldChar w:fldCharType="end"/>
      </w:r>
    </w:p>
    <w:p w14:paraId="5BA5846F">
      <w:pPr>
        <w:pStyle w:val="14"/>
        <w:keepNext w:val="0"/>
        <w:keepLines w:val="0"/>
        <w:pageBreakBefore w:val="0"/>
        <w:tabs>
          <w:tab w:val="right" w:leader="dot" w:pos="8306"/>
          <w:tab w:val="clear" w:pos="8296"/>
        </w:tabs>
        <w:kinsoku/>
        <w:wordWrap/>
        <w:overflowPunct/>
        <w:topLinePunct w:val="0"/>
        <w:autoSpaceDE/>
        <w:autoSpaceDN/>
        <w:bidi w:val="0"/>
        <w:adjustRightInd/>
        <w:snapToGrid/>
        <w:spacing w:line="380" w:lineRule="exact"/>
        <w:ind w:left="0" w:leftChars="0"/>
        <w:jc w:val="both"/>
        <w:textAlignment w:val="auto"/>
        <w:rPr>
          <w:rFonts w:hint="eastAsia" w:ascii="黑体" w:hAnsi="黑体" w:eastAsia="黑体" w:cs="黑体"/>
          <w:sz w:val="21"/>
          <w:szCs w:val="21"/>
        </w:rPr>
      </w:pPr>
      <w:r>
        <w:rPr>
          <w:rFonts w:hint="eastAsia" w:ascii="黑体" w:hAnsi="黑体" w:eastAsia="黑体" w:cs="黑体"/>
          <w:sz w:val="21"/>
          <w:szCs w:val="21"/>
        </w:rPr>
        <w:fldChar w:fldCharType="begin"/>
      </w:r>
      <w:r>
        <w:rPr>
          <w:rFonts w:hint="eastAsia" w:ascii="黑体" w:hAnsi="黑体" w:eastAsia="黑体" w:cs="黑体"/>
          <w:sz w:val="21"/>
          <w:szCs w:val="21"/>
        </w:rPr>
        <w:instrText xml:space="preserve"> HYPERLINK \l _Toc14907 </w:instrText>
      </w:r>
      <w:r>
        <w:rPr>
          <w:rFonts w:hint="eastAsia" w:ascii="黑体" w:hAnsi="黑体" w:eastAsia="黑体" w:cs="黑体"/>
          <w:sz w:val="21"/>
          <w:szCs w:val="21"/>
        </w:rPr>
        <w:fldChar w:fldCharType="separate"/>
      </w:r>
      <w:r>
        <w:rPr>
          <w:rFonts w:hint="eastAsia" w:ascii="黑体" w:hAnsi="黑体" w:eastAsia="黑体" w:cs="黑体"/>
          <w:sz w:val="21"/>
          <w:szCs w:val="21"/>
          <w:highlight w:val="none"/>
        </w:rPr>
        <w:t>五、一般公共预算财政拨款支出决算情况说明</w:t>
      </w:r>
      <w:r>
        <w:rPr>
          <w:rFonts w:hint="eastAsia" w:ascii="黑体" w:hAnsi="黑体" w:eastAsia="黑体" w:cs="黑体"/>
          <w:sz w:val="21"/>
          <w:szCs w:val="21"/>
        </w:rPr>
        <w:tab/>
      </w:r>
      <w:r>
        <w:rPr>
          <w:rFonts w:hint="eastAsia" w:ascii="黑体" w:hAnsi="黑体" w:eastAsia="黑体" w:cs="黑体"/>
          <w:sz w:val="21"/>
          <w:szCs w:val="21"/>
        </w:rPr>
        <w:fldChar w:fldCharType="begin"/>
      </w:r>
      <w:r>
        <w:rPr>
          <w:rFonts w:hint="eastAsia" w:ascii="黑体" w:hAnsi="黑体" w:eastAsia="黑体" w:cs="黑体"/>
          <w:sz w:val="21"/>
          <w:szCs w:val="21"/>
        </w:rPr>
        <w:instrText xml:space="preserve"> PAGEREF _Toc14907 \h </w:instrText>
      </w:r>
      <w:r>
        <w:rPr>
          <w:rFonts w:hint="eastAsia" w:ascii="黑体" w:hAnsi="黑体" w:eastAsia="黑体" w:cs="黑体"/>
          <w:sz w:val="21"/>
          <w:szCs w:val="21"/>
        </w:rPr>
        <w:fldChar w:fldCharType="separate"/>
      </w:r>
      <w:r>
        <w:rPr>
          <w:rFonts w:hint="eastAsia" w:ascii="黑体" w:hAnsi="黑体" w:eastAsia="黑体" w:cs="黑体"/>
          <w:sz w:val="21"/>
          <w:szCs w:val="21"/>
        </w:rPr>
        <w:t>7</w:t>
      </w:r>
      <w:r>
        <w:rPr>
          <w:rFonts w:hint="eastAsia" w:ascii="黑体" w:hAnsi="黑体" w:eastAsia="黑体" w:cs="黑体"/>
          <w:sz w:val="21"/>
          <w:szCs w:val="21"/>
        </w:rPr>
        <w:fldChar w:fldCharType="end"/>
      </w:r>
      <w:r>
        <w:rPr>
          <w:rFonts w:hint="eastAsia" w:ascii="黑体" w:hAnsi="黑体" w:eastAsia="黑体" w:cs="黑体"/>
          <w:sz w:val="21"/>
          <w:szCs w:val="21"/>
        </w:rPr>
        <w:fldChar w:fldCharType="end"/>
      </w:r>
    </w:p>
    <w:p w14:paraId="71F9B3C7">
      <w:pPr>
        <w:pStyle w:val="14"/>
        <w:keepNext w:val="0"/>
        <w:keepLines w:val="0"/>
        <w:pageBreakBefore w:val="0"/>
        <w:tabs>
          <w:tab w:val="right" w:leader="dot" w:pos="8306"/>
          <w:tab w:val="clear" w:pos="8296"/>
        </w:tabs>
        <w:kinsoku/>
        <w:wordWrap/>
        <w:overflowPunct/>
        <w:topLinePunct w:val="0"/>
        <w:autoSpaceDE/>
        <w:autoSpaceDN/>
        <w:bidi w:val="0"/>
        <w:adjustRightInd/>
        <w:snapToGrid/>
        <w:spacing w:line="380" w:lineRule="exact"/>
        <w:ind w:left="0" w:leftChars="0"/>
        <w:jc w:val="both"/>
        <w:textAlignment w:val="auto"/>
        <w:rPr>
          <w:rFonts w:hint="eastAsia" w:ascii="黑体" w:hAnsi="黑体" w:eastAsia="黑体" w:cs="黑体"/>
          <w:sz w:val="21"/>
          <w:szCs w:val="21"/>
        </w:rPr>
      </w:pPr>
      <w:r>
        <w:rPr>
          <w:rFonts w:hint="eastAsia" w:ascii="黑体" w:hAnsi="黑体" w:eastAsia="黑体" w:cs="黑体"/>
          <w:sz w:val="21"/>
          <w:szCs w:val="21"/>
        </w:rPr>
        <w:fldChar w:fldCharType="begin"/>
      </w:r>
      <w:r>
        <w:rPr>
          <w:rFonts w:hint="eastAsia" w:ascii="黑体" w:hAnsi="黑体" w:eastAsia="黑体" w:cs="黑体"/>
          <w:sz w:val="21"/>
          <w:szCs w:val="21"/>
        </w:rPr>
        <w:instrText xml:space="preserve"> HYPERLINK \l _Toc11069 </w:instrText>
      </w:r>
      <w:r>
        <w:rPr>
          <w:rFonts w:hint="eastAsia" w:ascii="黑体" w:hAnsi="黑体" w:eastAsia="黑体" w:cs="黑体"/>
          <w:sz w:val="21"/>
          <w:szCs w:val="21"/>
        </w:rPr>
        <w:fldChar w:fldCharType="separate"/>
      </w:r>
      <w:r>
        <w:rPr>
          <w:rFonts w:hint="eastAsia" w:ascii="黑体" w:hAnsi="黑体" w:eastAsia="黑体" w:cs="黑体"/>
          <w:sz w:val="21"/>
          <w:szCs w:val="21"/>
          <w:highlight w:val="none"/>
        </w:rPr>
        <w:t>六、一般公共预算财政拨款基本支出决算情况说明</w:t>
      </w:r>
      <w:r>
        <w:rPr>
          <w:rFonts w:hint="eastAsia" w:ascii="黑体" w:hAnsi="黑体" w:eastAsia="黑体" w:cs="黑体"/>
          <w:sz w:val="21"/>
          <w:szCs w:val="21"/>
        </w:rPr>
        <w:tab/>
      </w:r>
      <w:r>
        <w:rPr>
          <w:rFonts w:hint="eastAsia" w:ascii="黑体" w:hAnsi="黑体" w:eastAsia="黑体" w:cs="黑体"/>
          <w:sz w:val="21"/>
          <w:szCs w:val="21"/>
        </w:rPr>
        <w:fldChar w:fldCharType="begin"/>
      </w:r>
      <w:r>
        <w:rPr>
          <w:rFonts w:hint="eastAsia" w:ascii="黑体" w:hAnsi="黑体" w:eastAsia="黑体" w:cs="黑体"/>
          <w:sz w:val="21"/>
          <w:szCs w:val="21"/>
        </w:rPr>
        <w:instrText xml:space="preserve"> PAGEREF _Toc11069 \h </w:instrText>
      </w:r>
      <w:r>
        <w:rPr>
          <w:rFonts w:hint="eastAsia" w:ascii="黑体" w:hAnsi="黑体" w:eastAsia="黑体" w:cs="黑体"/>
          <w:sz w:val="21"/>
          <w:szCs w:val="21"/>
        </w:rPr>
        <w:fldChar w:fldCharType="separate"/>
      </w:r>
      <w:r>
        <w:rPr>
          <w:rFonts w:hint="eastAsia" w:ascii="黑体" w:hAnsi="黑体" w:eastAsia="黑体" w:cs="黑体"/>
          <w:sz w:val="21"/>
          <w:szCs w:val="21"/>
        </w:rPr>
        <w:t>11</w:t>
      </w:r>
      <w:r>
        <w:rPr>
          <w:rFonts w:hint="eastAsia" w:ascii="黑体" w:hAnsi="黑体" w:eastAsia="黑体" w:cs="黑体"/>
          <w:sz w:val="21"/>
          <w:szCs w:val="21"/>
        </w:rPr>
        <w:fldChar w:fldCharType="end"/>
      </w:r>
      <w:r>
        <w:rPr>
          <w:rFonts w:hint="eastAsia" w:ascii="黑体" w:hAnsi="黑体" w:eastAsia="黑体" w:cs="黑体"/>
          <w:sz w:val="21"/>
          <w:szCs w:val="21"/>
        </w:rPr>
        <w:fldChar w:fldCharType="end"/>
      </w:r>
    </w:p>
    <w:p w14:paraId="4B10AFB2">
      <w:pPr>
        <w:pStyle w:val="14"/>
        <w:keepNext w:val="0"/>
        <w:keepLines w:val="0"/>
        <w:pageBreakBefore w:val="0"/>
        <w:tabs>
          <w:tab w:val="right" w:leader="dot" w:pos="8306"/>
          <w:tab w:val="clear" w:pos="8296"/>
        </w:tabs>
        <w:kinsoku/>
        <w:wordWrap/>
        <w:overflowPunct/>
        <w:topLinePunct w:val="0"/>
        <w:autoSpaceDE/>
        <w:autoSpaceDN/>
        <w:bidi w:val="0"/>
        <w:adjustRightInd/>
        <w:snapToGrid/>
        <w:spacing w:line="380" w:lineRule="exact"/>
        <w:ind w:left="0" w:leftChars="0"/>
        <w:jc w:val="both"/>
        <w:textAlignment w:val="auto"/>
        <w:rPr>
          <w:rFonts w:hint="eastAsia" w:ascii="黑体" w:hAnsi="黑体" w:eastAsia="黑体" w:cs="黑体"/>
          <w:sz w:val="21"/>
          <w:szCs w:val="21"/>
        </w:rPr>
      </w:pPr>
      <w:r>
        <w:rPr>
          <w:rFonts w:hint="eastAsia" w:ascii="黑体" w:hAnsi="黑体" w:eastAsia="黑体" w:cs="黑体"/>
          <w:sz w:val="21"/>
          <w:szCs w:val="21"/>
        </w:rPr>
        <w:fldChar w:fldCharType="begin"/>
      </w:r>
      <w:r>
        <w:rPr>
          <w:rFonts w:hint="eastAsia" w:ascii="黑体" w:hAnsi="黑体" w:eastAsia="黑体" w:cs="黑体"/>
          <w:sz w:val="21"/>
          <w:szCs w:val="21"/>
        </w:rPr>
        <w:instrText xml:space="preserve"> HYPERLINK \l _Toc16857 </w:instrText>
      </w:r>
      <w:r>
        <w:rPr>
          <w:rFonts w:hint="eastAsia" w:ascii="黑体" w:hAnsi="黑体" w:eastAsia="黑体" w:cs="黑体"/>
          <w:sz w:val="21"/>
          <w:szCs w:val="21"/>
        </w:rPr>
        <w:fldChar w:fldCharType="separate"/>
      </w:r>
      <w:r>
        <w:rPr>
          <w:rFonts w:hint="eastAsia" w:ascii="黑体" w:hAnsi="黑体" w:eastAsia="黑体" w:cs="黑体"/>
          <w:sz w:val="21"/>
          <w:szCs w:val="21"/>
          <w:highlight w:val="none"/>
        </w:rPr>
        <w:t>七、财政拨款“三公”经费支出决算情况说明</w:t>
      </w:r>
      <w:r>
        <w:rPr>
          <w:rFonts w:hint="eastAsia" w:ascii="黑体" w:hAnsi="黑体" w:eastAsia="黑体" w:cs="黑体"/>
          <w:sz w:val="21"/>
          <w:szCs w:val="21"/>
        </w:rPr>
        <w:tab/>
      </w:r>
      <w:r>
        <w:rPr>
          <w:rFonts w:hint="eastAsia" w:ascii="黑体" w:hAnsi="黑体" w:eastAsia="黑体" w:cs="黑体"/>
          <w:sz w:val="21"/>
          <w:szCs w:val="21"/>
        </w:rPr>
        <w:fldChar w:fldCharType="begin"/>
      </w:r>
      <w:r>
        <w:rPr>
          <w:rFonts w:hint="eastAsia" w:ascii="黑体" w:hAnsi="黑体" w:eastAsia="黑体" w:cs="黑体"/>
          <w:sz w:val="21"/>
          <w:szCs w:val="21"/>
        </w:rPr>
        <w:instrText xml:space="preserve"> PAGEREF _Toc16857 \h </w:instrText>
      </w:r>
      <w:r>
        <w:rPr>
          <w:rFonts w:hint="eastAsia" w:ascii="黑体" w:hAnsi="黑体" w:eastAsia="黑体" w:cs="黑体"/>
          <w:sz w:val="21"/>
          <w:szCs w:val="21"/>
        </w:rPr>
        <w:fldChar w:fldCharType="separate"/>
      </w:r>
      <w:r>
        <w:rPr>
          <w:rFonts w:hint="eastAsia" w:ascii="黑体" w:hAnsi="黑体" w:eastAsia="黑体" w:cs="黑体"/>
          <w:sz w:val="21"/>
          <w:szCs w:val="21"/>
        </w:rPr>
        <w:t>11</w:t>
      </w:r>
      <w:r>
        <w:rPr>
          <w:rFonts w:hint="eastAsia" w:ascii="黑体" w:hAnsi="黑体" w:eastAsia="黑体" w:cs="黑体"/>
          <w:sz w:val="21"/>
          <w:szCs w:val="21"/>
        </w:rPr>
        <w:fldChar w:fldCharType="end"/>
      </w:r>
      <w:r>
        <w:rPr>
          <w:rFonts w:hint="eastAsia" w:ascii="黑体" w:hAnsi="黑体" w:eastAsia="黑体" w:cs="黑体"/>
          <w:sz w:val="21"/>
          <w:szCs w:val="21"/>
        </w:rPr>
        <w:fldChar w:fldCharType="end"/>
      </w:r>
    </w:p>
    <w:p w14:paraId="1FFB9604">
      <w:pPr>
        <w:pStyle w:val="14"/>
        <w:keepNext w:val="0"/>
        <w:keepLines w:val="0"/>
        <w:pageBreakBefore w:val="0"/>
        <w:tabs>
          <w:tab w:val="right" w:leader="dot" w:pos="8306"/>
          <w:tab w:val="clear" w:pos="8296"/>
        </w:tabs>
        <w:kinsoku/>
        <w:wordWrap/>
        <w:overflowPunct/>
        <w:topLinePunct w:val="0"/>
        <w:autoSpaceDE/>
        <w:autoSpaceDN/>
        <w:bidi w:val="0"/>
        <w:adjustRightInd/>
        <w:snapToGrid/>
        <w:spacing w:line="380" w:lineRule="exact"/>
        <w:ind w:left="0" w:leftChars="0"/>
        <w:jc w:val="both"/>
        <w:textAlignment w:val="auto"/>
        <w:rPr>
          <w:rFonts w:hint="eastAsia" w:ascii="黑体" w:hAnsi="黑体" w:eastAsia="黑体" w:cs="黑体"/>
          <w:sz w:val="21"/>
          <w:szCs w:val="21"/>
        </w:rPr>
      </w:pPr>
      <w:r>
        <w:rPr>
          <w:rFonts w:hint="eastAsia" w:ascii="黑体" w:hAnsi="黑体" w:eastAsia="黑体" w:cs="黑体"/>
          <w:sz w:val="21"/>
          <w:szCs w:val="21"/>
        </w:rPr>
        <w:fldChar w:fldCharType="begin"/>
      </w:r>
      <w:r>
        <w:rPr>
          <w:rFonts w:hint="eastAsia" w:ascii="黑体" w:hAnsi="黑体" w:eastAsia="黑体" w:cs="黑体"/>
          <w:sz w:val="21"/>
          <w:szCs w:val="21"/>
        </w:rPr>
        <w:instrText xml:space="preserve"> HYPERLINK \l _Toc8716 </w:instrText>
      </w:r>
      <w:r>
        <w:rPr>
          <w:rFonts w:hint="eastAsia" w:ascii="黑体" w:hAnsi="黑体" w:eastAsia="黑体" w:cs="黑体"/>
          <w:sz w:val="21"/>
          <w:szCs w:val="21"/>
        </w:rPr>
        <w:fldChar w:fldCharType="separate"/>
      </w:r>
      <w:r>
        <w:rPr>
          <w:rFonts w:hint="eastAsia" w:ascii="黑体" w:hAnsi="黑体" w:eastAsia="黑体" w:cs="黑体"/>
          <w:sz w:val="21"/>
          <w:szCs w:val="21"/>
          <w:highlight w:val="none"/>
        </w:rPr>
        <w:t>八、政府性基金预算支出决算情况说明</w:t>
      </w:r>
      <w:r>
        <w:rPr>
          <w:rFonts w:hint="eastAsia" w:ascii="黑体" w:hAnsi="黑体" w:eastAsia="黑体" w:cs="黑体"/>
          <w:sz w:val="21"/>
          <w:szCs w:val="21"/>
        </w:rPr>
        <w:tab/>
      </w:r>
      <w:r>
        <w:rPr>
          <w:rFonts w:hint="eastAsia" w:ascii="黑体" w:hAnsi="黑体" w:eastAsia="黑体" w:cs="黑体"/>
          <w:sz w:val="21"/>
          <w:szCs w:val="21"/>
        </w:rPr>
        <w:fldChar w:fldCharType="begin"/>
      </w:r>
      <w:r>
        <w:rPr>
          <w:rFonts w:hint="eastAsia" w:ascii="黑体" w:hAnsi="黑体" w:eastAsia="黑体" w:cs="黑体"/>
          <w:sz w:val="21"/>
          <w:szCs w:val="21"/>
        </w:rPr>
        <w:instrText xml:space="preserve"> PAGEREF _Toc8716 \h </w:instrText>
      </w:r>
      <w:r>
        <w:rPr>
          <w:rFonts w:hint="eastAsia" w:ascii="黑体" w:hAnsi="黑体" w:eastAsia="黑体" w:cs="黑体"/>
          <w:sz w:val="21"/>
          <w:szCs w:val="21"/>
        </w:rPr>
        <w:fldChar w:fldCharType="separate"/>
      </w:r>
      <w:r>
        <w:rPr>
          <w:rFonts w:hint="eastAsia" w:ascii="黑体" w:hAnsi="黑体" w:eastAsia="黑体" w:cs="黑体"/>
          <w:sz w:val="21"/>
          <w:szCs w:val="21"/>
        </w:rPr>
        <w:t>13</w:t>
      </w:r>
      <w:r>
        <w:rPr>
          <w:rFonts w:hint="eastAsia" w:ascii="黑体" w:hAnsi="黑体" w:eastAsia="黑体" w:cs="黑体"/>
          <w:sz w:val="21"/>
          <w:szCs w:val="21"/>
        </w:rPr>
        <w:fldChar w:fldCharType="end"/>
      </w:r>
      <w:r>
        <w:rPr>
          <w:rFonts w:hint="eastAsia" w:ascii="黑体" w:hAnsi="黑体" w:eastAsia="黑体" w:cs="黑体"/>
          <w:sz w:val="21"/>
          <w:szCs w:val="21"/>
        </w:rPr>
        <w:fldChar w:fldCharType="end"/>
      </w:r>
    </w:p>
    <w:p w14:paraId="5DB9C7EF">
      <w:pPr>
        <w:pStyle w:val="14"/>
        <w:keepNext w:val="0"/>
        <w:keepLines w:val="0"/>
        <w:pageBreakBefore w:val="0"/>
        <w:tabs>
          <w:tab w:val="right" w:leader="dot" w:pos="8306"/>
          <w:tab w:val="clear" w:pos="8296"/>
        </w:tabs>
        <w:kinsoku/>
        <w:wordWrap/>
        <w:overflowPunct/>
        <w:topLinePunct w:val="0"/>
        <w:autoSpaceDE/>
        <w:autoSpaceDN/>
        <w:bidi w:val="0"/>
        <w:adjustRightInd/>
        <w:snapToGrid/>
        <w:spacing w:line="380" w:lineRule="exact"/>
        <w:ind w:left="0" w:leftChars="0"/>
        <w:jc w:val="both"/>
        <w:textAlignment w:val="auto"/>
        <w:rPr>
          <w:rFonts w:hint="eastAsia" w:ascii="黑体" w:hAnsi="黑体" w:eastAsia="黑体" w:cs="黑体"/>
          <w:sz w:val="21"/>
          <w:szCs w:val="21"/>
        </w:rPr>
      </w:pPr>
      <w:r>
        <w:rPr>
          <w:rFonts w:hint="eastAsia" w:ascii="黑体" w:hAnsi="黑体" w:eastAsia="黑体" w:cs="黑体"/>
          <w:sz w:val="21"/>
          <w:szCs w:val="21"/>
        </w:rPr>
        <w:fldChar w:fldCharType="begin"/>
      </w:r>
      <w:r>
        <w:rPr>
          <w:rFonts w:hint="eastAsia" w:ascii="黑体" w:hAnsi="黑体" w:eastAsia="黑体" w:cs="黑体"/>
          <w:sz w:val="21"/>
          <w:szCs w:val="21"/>
        </w:rPr>
        <w:instrText xml:space="preserve"> HYPERLINK \l _Toc12945 </w:instrText>
      </w:r>
      <w:r>
        <w:rPr>
          <w:rFonts w:hint="eastAsia" w:ascii="黑体" w:hAnsi="黑体" w:eastAsia="黑体" w:cs="黑体"/>
          <w:sz w:val="21"/>
          <w:szCs w:val="21"/>
        </w:rPr>
        <w:fldChar w:fldCharType="separate"/>
      </w:r>
      <w:r>
        <w:rPr>
          <w:rFonts w:hint="eastAsia" w:ascii="黑体" w:hAnsi="黑体" w:eastAsia="黑体" w:cs="黑体"/>
          <w:sz w:val="21"/>
          <w:szCs w:val="21"/>
          <w:highlight w:val="none"/>
          <w:lang w:eastAsia="zh-CN"/>
        </w:rPr>
        <w:t>九、</w:t>
      </w:r>
      <w:r>
        <w:rPr>
          <w:rFonts w:hint="eastAsia" w:ascii="黑体" w:hAnsi="黑体" w:eastAsia="黑体" w:cs="黑体"/>
          <w:sz w:val="21"/>
          <w:szCs w:val="21"/>
          <w:highlight w:val="none"/>
        </w:rPr>
        <w:t>国有资本经营预算支出决算情况说明</w:t>
      </w:r>
      <w:r>
        <w:rPr>
          <w:rFonts w:hint="eastAsia" w:ascii="黑体" w:hAnsi="黑体" w:eastAsia="黑体" w:cs="黑体"/>
          <w:sz w:val="21"/>
          <w:szCs w:val="21"/>
        </w:rPr>
        <w:tab/>
      </w:r>
      <w:r>
        <w:rPr>
          <w:rFonts w:hint="eastAsia" w:ascii="黑体" w:hAnsi="黑体" w:eastAsia="黑体" w:cs="黑体"/>
          <w:sz w:val="21"/>
          <w:szCs w:val="21"/>
        </w:rPr>
        <w:fldChar w:fldCharType="begin"/>
      </w:r>
      <w:r>
        <w:rPr>
          <w:rFonts w:hint="eastAsia" w:ascii="黑体" w:hAnsi="黑体" w:eastAsia="黑体" w:cs="黑体"/>
          <w:sz w:val="21"/>
          <w:szCs w:val="21"/>
        </w:rPr>
        <w:instrText xml:space="preserve"> PAGEREF _Toc12945 \h </w:instrText>
      </w:r>
      <w:r>
        <w:rPr>
          <w:rFonts w:hint="eastAsia" w:ascii="黑体" w:hAnsi="黑体" w:eastAsia="黑体" w:cs="黑体"/>
          <w:sz w:val="21"/>
          <w:szCs w:val="21"/>
        </w:rPr>
        <w:fldChar w:fldCharType="separate"/>
      </w:r>
      <w:r>
        <w:rPr>
          <w:rFonts w:hint="eastAsia" w:ascii="黑体" w:hAnsi="黑体" w:eastAsia="黑体" w:cs="黑体"/>
          <w:sz w:val="21"/>
          <w:szCs w:val="21"/>
        </w:rPr>
        <w:t>13</w:t>
      </w:r>
      <w:r>
        <w:rPr>
          <w:rFonts w:hint="eastAsia" w:ascii="黑体" w:hAnsi="黑体" w:eastAsia="黑体" w:cs="黑体"/>
          <w:sz w:val="21"/>
          <w:szCs w:val="21"/>
        </w:rPr>
        <w:fldChar w:fldCharType="end"/>
      </w:r>
      <w:r>
        <w:rPr>
          <w:rFonts w:hint="eastAsia" w:ascii="黑体" w:hAnsi="黑体" w:eastAsia="黑体" w:cs="黑体"/>
          <w:sz w:val="21"/>
          <w:szCs w:val="21"/>
        </w:rPr>
        <w:fldChar w:fldCharType="end"/>
      </w:r>
    </w:p>
    <w:p w14:paraId="3FE86373">
      <w:pPr>
        <w:pStyle w:val="14"/>
        <w:keepNext w:val="0"/>
        <w:keepLines w:val="0"/>
        <w:pageBreakBefore w:val="0"/>
        <w:tabs>
          <w:tab w:val="right" w:leader="dot" w:pos="8306"/>
          <w:tab w:val="clear" w:pos="8296"/>
        </w:tabs>
        <w:kinsoku/>
        <w:wordWrap/>
        <w:overflowPunct/>
        <w:topLinePunct w:val="0"/>
        <w:autoSpaceDE/>
        <w:autoSpaceDN/>
        <w:bidi w:val="0"/>
        <w:adjustRightInd/>
        <w:snapToGrid/>
        <w:spacing w:line="380" w:lineRule="exact"/>
        <w:ind w:left="0" w:leftChars="0"/>
        <w:jc w:val="both"/>
        <w:textAlignment w:val="auto"/>
        <w:rPr>
          <w:rFonts w:hint="eastAsia" w:ascii="黑体" w:hAnsi="黑体" w:eastAsia="黑体" w:cs="黑体"/>
          <w:sz w:val="21"/>
          <w:szCs w:val="21"/>
        </w:rPr>
      </w:pPr>
      <w:r>
        <w:rPr>
          <w:rFonts w:hint="eastAsia" w:ascii="黑体" w:hAnsi="黑体" w:eastAsia="黑体" w:cs="黑体"/>
          <w:sz w:val="21"/>
          <w:szCs w:val="21"/>
        </w:rPr>
        <w:fldChar w:fldCharType="begin"/>
      </w:r>
      <w:r>
        <w:rPr>
          <w:rFonts w:hint="eastAsia" w:ascii="黑体" w:hAnsi="黑体" w:eastAsia="黑体" w:cs="黑体"/>
          <w:sz w:val="21"/>
          <w:szCs w:val="21"/>
        </w:rPr>
        <w:instrText xml:space="preserve"> HYPERLINK \l _Toc22037 </w:instrText>
      </w:r>
      <w:r>
        <w:rPr>
          <w:rFonts w:hint="eastAsia" w:ascii="黑体" w:hAnsi="黑体" w:eastAsia="黑体" w:cs="黑体"/>
          <w:sz w:val="21"/>
          <w:szCs w:val="21"/>
        </w:rPr>
        <w:fldChar w:fldCharType="separate"/>
      </w:r>
      <w:r>
        <w:rPr>
          <w:rFonts w:hint="eastAsia" w:ascii="黑体" w:hAnsi="黑体" w:eastAsia="黑体" w:cs="黑体"/>
          <w:sz w:val="21"/>
          <w:szCs w:val="21"/>
          <w:highlight w:val="none"/>
          <w:lang w:eastAsia="zh-CN"/>
        </w:rPr>
        <w:t>十、</w:t>
      </w:r>
      <w:r>
        <w:rPr>
          <w:rFonts w:hint="eastAsia" w:ascii="黑体" w:hAnsi="黑体" w:eastAsia="黑体" w:cs="黑体"/>
          <w:sz w:val="21"/>
          <w:szCs w:val="21"/>
          <w:highlight w:val="none"/>
        </w:rPr>
        <w:t>其他重要事项的情况说明</w:t>
      </w:r>
      <w:r>
        <w:rPr>
          <w:rFonts w:hint="eastAsia" w:ascii="黑体" w:hAnsi="黑体" w:eastAsia="黑体" w:cs="黑体"/>
          <w:sz w:val="21"/>
          <w:szCs w:val="21"/>
        </w:rPr>
        <w:tab/>
      </w:r>
      <w:r>
        <w:rPr>
          <w:rFonts w:hint="eastAsia" w:ascii="黑体" w:hAnsi="黑体" w:eastAsia="黑体" w:cs="黑体"/>
          <w:sz w:val="21"/>
          <w:szCs w:val="21"/>
        </w:rPr>
        <w:fldChar w:fldCharType="begin"/>
      </w:r>
      <w:r>
        <w:rPr>
          <w:rFonts w:hint="eastAsia" w:ascii="黑体" w:hAnsi="黑体" w:eastAsia="黑体" w:cs="黑体"/>
          <w:sz w:val="21"/>
          <w:szCs w:val="21"/>
        </w:rPr>
        <w:instrText xml:space="preserve"> PAGEREF _Toc22037 \h </w:instrText>
      </w:r>
      <w:r>
        <w:rPr>
          <w:rFonts w:hint="eastAsia" w:ascii="黑体" w:hAnsi="黑体" w:eastAsia="黑体" w:cs="黑体"/>
          <w:sz w:val="21"/>
          <w:szCs w:val="21"/>
        </w:rPr>
        <w:fldChar w:fldCharType="separate"/>
      </w:r>
      <w:r>
        <w:rPr>
          <w:rFonts w:hint="eastAsia" w:ascii="黑体" w:hAnsi="黑体" w:eastAsia="黑体" w:cs="黑体"/>
          <w:sz w:val="21"/>
          <w:szCs w:val="21"/>
        </w:rPr>
        <w:t>14</w:t>
      </w:r>
      <w:r>
        <w:rPr>
          <w:rFonts w:hint="eastAsia" w:ascii="黑体" w:hAnsi="黑体" w:eastAsia="黑体" w:cs="黑体"/>
          <w:sz w:val="21"/>
          <w:szCs w:val="21"/>
        </w:rPr>
        <w:fldChar w:fldCharType="end"/>
      </w:r>
      <w:r>
        <w:rPr>
          <w:rFonts w:hint="eastAsia" w:ascii="黑体" w:hAnsi="黑体" w:eastAsia="黑体" w:cs="黑体"/>
          <w:sz w:val="21"/>
          <w:szCs w:val="21"/>
        </w:rPr>
        <w:fldChar w:fldCharType="end"/>
      </w:r>
    </w:p>
    <w:p w14:paraId="50C70506">
      <w:pPr>
        <w:pStyle w:val="12"/>
        <w:keepNext w:val="0"/>
        <w:keepLines w:val="0"/>
        <w:pageBreakBefore w:val="0"/>
        <w:tabs>
          <w:tab w:val="right" w:leader="dot" w:pos="8306"/>
          <w:tab w:val="clear" w:pos="8296"/>
        </w:tabs>
        <w:kinsoku/>
        <w:wordWrap/>
        <w:overflowPunct/>
        <w:topLinePunct w:val="0"/>
        <w:autoSpaceDE/>
        <w:autoSpaceDN/>
        <w:bidi w:val="0"/>
        <w:adjustRightInd/>
        <w:snapToGrid/>
        <w:spacing w:before="0" w:line="380" w:lineRule="exact"/>
        <w:ind w:left="0" w:leftChars="0"/>
        <w:jc w:val="both"/>
        <w:textAlignment w:val="auto"/>
        <w:rPr>
          <w:rFonts w:hint="eastAsia" w:ascii="黑体" w:hAnsi="黑体" w:eastAsia="黑体" w:cs="黑体"/>
          <w:sz w:val="21"/>
          <w:szCs w:val="21"/>
        </w:rPr>
      </w:pPr>
      <w:r>
        <w:rPr>
          <w:rFonts w:hint="eastAsia" w:ascii="黑体" w:hAnsi="黑体" w:eastAsia="黑体" w:cs="黑体"/>
          <w:sz w:val="21"/>
          <w:szCs w:val="21"/>
        </w:rPr>
        <w:fldChar w:fldCharType="begin"/>
      </w:r>
      <w:r>
        <w:rPr>
          <w:rFonts w:hint="eastAsia" w:ascii="黑体" w:hAnsi="黑体" w:eastAsia="黑体" w:cs="黑体"/>
          <w:sz w:val="21"/>
          <w:szCs w:val="21"/>
        </w:rPr>
        <w:instrText xml:space="preserve"> HYPERLINK \l _Toc29441 </w:instrText>
      </w:r>
      <w:r>
        <w:rPr>
          <w:rFonts w:hint="eastAsia" w:ascii="黑体" w:hAnsi="黑体" w:eastAsia="黑体" w:cs="黑体"/>
          <w:sz w:val="21"/>
          <w:szCs w:val="21"/>
        </w:rPr>
        <w:fldChar w:fldCharType="separate"/>
      </w:r>
      <w:r>
        <w:rPr>
          <w:rFonts w:hint="eastAsia" w:ascii="黑体" w:hAnsi="黑体" w:eastAsia="黑体" w:cs="黑体"/>
          <w:bCs w:val="0"/>
          <w:sz w:val="21"/>
          <w:szCs w:val="21"/>
        </w:rPr>
        <w:t>第</w:t>
      </w:r>
      <w:r>
        <w:rPr>
          <w:rFonts w:hint="eastAsia" w:ascii="黑体" w:hAnsi="黑体" w:eastAsia="黑体" w:cs="黑体"/>
          <w:bCs w:val="0"/>
          <w:sz w:val="21"/>
          <w:szCs w:val="21"/>
          <w:lang w:eastAsia="zh-CN"/>
        </w:rPr>
        <w:t>三</w:t>
      </w:r>
      <w:r>
        <w:rPr>
          <w:rFonts w:hint="eastAsia" w:ascii="黑体" w:hAnsi="黑体" w:eastAsia="黑体" w:cs="黑体"/>
          <w:bCs w:val="0"/>
          <w:sz w:val="21"/>
          <w:szCs w:val="21"/>
        </w:rPr>
        <w:t>部分</w:t>
      </w:r>
      <w:r>
        <w:rPr>
          <w:rFonts w:hint="eastAsia" w:ascii="黑体" w:hAnsi="黑体" w:eastAsia="黑体" w:cs="黑体"/>
          <w:bCs w:val="0"/>
          <w:sz w:val="21"/>
          <w:szCs w:val="21"/>
          <w:lang w:val="en-US" w:eastAsia="zh-CN"/>
        </w:rPr>
        <w:t xml:space="preserve">  </w:t>
      </w:r>
      <w:r>
        <w:rPr>
          <w:rFonts w:hint="eastAsia" w:ascii="黑体" w:hAnsi="黑体" w:eastAsia="黑体" w:cs="黑体"/>
          <w:bCs w:val="0"/>
          <w:sz w:val="21"/>
          <w:szCs w:val="21"/>
        </w:rPr>
        <w:t>名词解释</w:t>
      </w:r>
      <w:r>
        <w:rPr>
          <w:rFonts w:hint="eastAsia" w:ascii="黑体" w:hAnsi="黑体" w:eastAsia="黑体" w:cs="黑体"/>
          <w:sz w:val="21"/>
          <w:szCs w:val="21"/>
        </w:rPr>
        <w:tab/>
      </w:r>
      <w:r>
        <w:rPr>
          <w:rFonts w:hint="eastAsia" w:ascii="黑体" w:hAnsi="黑体" w:eastAsia="黑体" w:cs="黑体"/>
          <w:sz w:val="21"/>
          <w:szCs w:val="21"/>
        </w:rPr>
        <w:fldChar w:fldCharType="begin"/>
      </w:r>
      <w:r>
        <w:rPr>
          <w:rFonts w:hint="eastAsia" w:ascii="黑体" w:hAnsi="黑体" w:eastAsia="黑体" w:cs="黑体"/>
          <w:sz w:val="21"/>
          <w:szCs w:val="21"/>
        </w:rPr>
        <w:instrText xml:space="preserve"> PAGEREF _Toc29441 \h </w:instrText>
      </w:r>
      <w:r>
        <w:rPr>
          <w:rFonts w:hint="eastAsia" w:ascii="黑体" w:hAnsi="黑体" w:eastAsia="黑体" w:cs="黑体"/>
          <w:sz w:val="21"/>
          <w:szCs w:val="21"/>
        </w:rPr>
        <w:fldChar w:fldCharType="separate"/>
      </w:r>
      <w:r>
        <w:rPr>
          <w:rFonts w:hint="eastAsia" w:ascii="黑体" w:hAnsi="黑体" w:eastAsia="黑体" w:cs="黑体"/>
          <w:sz w:val="21"/>
          <w:szCs w:val="21"/>
        </w:rPr>
        <w:t>16</w:t>
      </w:r>
      <w:r>
        <w:rPr>
          <w:rFonts w:hint="eastAsia" w:ascii="黑体" w:hAnsi="黑体" w:eastAsia="黑体" w:cs="黑体"/>
          <w:sz w:val="21"/>
          <w:szCs w:val="21"/>
        </w:rPr>
        <w:fldChar w:fldCharType="end"/>
      </w:r>
      <w:r>
        <w:rPr>
          <w:rFonts w:hint="eastAsia" w:ascii="黑体" w:hAnsi="黑体" w:eastAsia="黑体" w:cs="黑体"/>
          <w:sz w:val="21"/>
          <w:szCs w:val="21"/>
        </w:rPr>
        <w:fldChar w:fldCharType="end"/>
      </w:r>
    </w:p>
    <w:p w14:paraId="08D4EE2B">
      <w:pPr>
        <w:pStyle w:val="12"/>
        <w:keepNext w:val="0"/>
        <w:keepLines w:val="0"/>
        <w:pageBreakBefore w:val="0"/>
        <w:tabs>
          <w:tab w:val="right" w:leader="dot" w:pos="8306"/>
          <w:tab w:val="clear" w:pos="8296"/>
        </w:tabs>
        <w:kinsoku/>
        <w:wordWrap/>
        <w:overflowPunct/>
        <w:topLinePunct w:val="0"/>
        <w:autoSpaceDE/>
        <w:autoSpaceDN/>
        <w:bidi w:val="0"/>
        <w:adjustRightInd/>
        <w:snapToGrid/>
        <w:spacing w:before="0" w:line="380" w:lineRule="exact"/>
        <w:ind w:left="0" w:leftChars="0"/>
        <w:jc w:val="both"/>
        <w:textAlignment w:val="auto"/>
        <w:rPr>
          <w:rFonts w:hint="eastAsia" w:ascii="黑体" w:hAnsi="黑体" w:eastAsia="黑体" w:cs="黑体"/>
          <w:sz w:val="21"/>
          <w:szCs w:val="21"/>
        </w:rPr>
      </w:pPr>
      <w:r>
        <w:rPr>
          <w:rFonts w:hint="eastAsia" w:ascii="黑体" w:hAnsi="黑体" w:eastAsia="黑体" w:cs="黑体"/>
          <w:sz w:val="21"/>
          <w:szCs w:val="21"/>
        </w:rPr>
        <w:fldChar w:fldCharType="begin"/>
      </w:r>
      <w:r>
        <w:rPr>
          <w:rFonts w:hint="eastAsia" w:ascii="黑体" w:hAnsi="黑体" w:eastAsia="黑体" w:cs="黑体"/>
          <w:sz w:val="21"/>
          <w:szCs w:val="21"/>
        </w:rPr>
        <w:instrText xml:space="preserve"> HYPERLINK \l _Toc12735 </w:instrText>
      </w:r>
      <w:r>
        <w:rPr>
          <w:rFonts w:hint="eastAsia" w:ascii="黑体" w:hAnsi="黑体" w:eastAsia="黑体" w:cs="黑体"/>
          <w:sz w:val="21"/>
          <w:szCs w:val="21"/>
        </w:rPr>
        <w:fldChar w:fldCharType="separate"/>
      </w:r>
      <w:r>
        <w:rPr>
          <w:rFonts w:hint="eastAsia" w:ascii="黑体" w:hAnsi="黑体" w:eastAsia="黑体" w:cs="黑体"/>
          <w:sz w:val="21"/>
          <w:szCs w:val="21"/>
          <w:highlight w:val="none"/>
        </w:rPr>
        <w:t>第四部分</w:t>
      </w:r>
      <w:r>
        <w:rPr>
          <w:rFonts w:hint="eastAsia" w:ascii="黑体" w:hAnsi="黑体" w:eastAsia="黑体" w:cs="黑体"/>
          <w:sz w:val="21"/>
          <w:szCs w:val="21"/>
          <w:highlight w:val="none"/>
          <w:lang w:val="en-US" w:eastAsia="zh-CN"/>
        </w:rPr>
        <w:t xml:space="preserve"> </w:t>
      </w:r>
      <w:r>
        <w:rPr>
          <w:rFonts w:hint="eastAsia" w:ascii="黑体" w:hAnsi="黑体" w:eastAsia="黑体" w:cs="黑体"/>
          <w:sz w:val="21"/>
          <w:szCs w:val="21"/>
          <w:highlight w:val="none"/>
        </w:rPr>
        <w:t xml:space="preserve"> 附件</w:t>
      </w:r>
      <w:r>
        <w:rPr>
          <w:rFonts w:hint="eastAsia" w:ascii="黑体" w:hAnsi="黑体" w:eastAsia="黑体" w:cs="黑体"/>
          <w:sz w:val="21"/>
          <w:szCs w:val="21"/>
        </w:rPr>
        <w:tab/>
      </w:r>
      <w:r>
        <w:rPr>
          <w:rFonts w:hint="eastAsia" w:ascii="黑体" w:hAnsi="黑体" w:eastAsia="黑体" w:cs="黑体"/>
          <w:sz w:val="21"/>
          <w:szCs w:val="21"/>
        </w:rPr>
        <w:fldChar w:fldCharType="begin"/>
      </w:r>
      <w:r>
        <w:rPr>
          <w:rFonts w:hint="eastAsia" w:ascii="黑体" w:hAnsi="黑体" w:eastAsia="黑体" w:cs="黑体"/>
          <w:sz w:val="21"/>
          <w:szCs w:val="21"/>
        </w:rPr>
        <w:instrText xml:space="preserve"> PAGEREF _Toc12735 \h </w:instrText>
      </w:r>
      <w:r>
        <w:rPr>
          <w:rFonts w:hint="eastAsia" w:ascii="黑体" w:hAnsi="黑体" w:eastAsia="黑体" w:cs="黑体"/>
          <w:sz w:val="21"/>
          <w:szCs w:val="21"/>
        </w:rPr>
        <w:fldChar w:fldCharType="separate"/>
      </w:r>
      <w:r>
        <w:rPr>
          <w:rFonts w:hint="eastAsia" w:ascii="黑体" w:hAnsi="黑体" w:eastAsia="黑体" w:cs="黑体"/>
          <w:sz w:val="21"/>
          <w:szCs w:val="21"/>
        </w:rPr>
        <w:t>20</w:t>
      </w:r>
      <w:r>
        <w:rPr>
          <w:rFonts w:hint="eastAsia" w:ascii="黑体" w:hAnsi="黑体" w:eastAsia="黑体" w:cs="黑体"/>
          <w:sz w:val="21"/>
          <w:szCs w:val="21"/>
        </w:rPr>
        <w:fldChar w:fldCharType="end"/>
      </w:r>
      <w:r>
        <w:rPr>
          <w:rFonts w:hint="eastAsia" w:ascii="黑体" w:hAnsi="黑体" w:eastAsia="黑体" w:cs="黑体"/>
          <w:sz w:val="21"/>
          <w:szCs w:val="21"/>
        </w:rPr>
        <w:fldChar w:fldCharType="end"/>
      </w:r>
    </w:p>
    <w:p w14:paraId="1E5C0B20">
      <w:pPr>
        <w:pStyle w:val="12"/>
        <w:keepNext w:val="0"/>
        <w:keepLines w:val="0"/>
        <w:pageBreakBefore w:val="0"/>
        <w:tabs>
          <w:tab w:val="right" w:leader="dot" w:pos="8306"/>
          <w:tab w:val="clear" w:pos="8296"/>
        </w:tabs>
        <w:kinsoku/>
        <w:wordWrap/>
        <w:overflowPunct/>
        <w:topLinePunct w:val="0"/>
        <w:autoSpaceDE/>
        <w:autoSpaceDN/>
        <w:bidi w:val="0"/>
        <w:adjustRightInd/>
        <w:snapToGrid/>
        <w:spacing w:before="0" w:line="380" w:lineRule="exact"/>
        <w:ind w:left="0" w:leftChars="0"/>
        <w:jc w:val="both"/>
        <w:textAlignment w:val="auto"/>
        <w:rPr>
          <w:rFonts w:hint="eastAsia" w:ascii="黑体" w:hAnsi="黑体" w:eastAsia="黑体" w:cs="黑体"/>
          <w:sz w:val="21"/>
          <w:szCs w:val="21"/>
        </w:rPr>
      </w:pPr>
      <w:r>
        <w:rPr>
          <w:rFonts w:hint="eastAsia" w:ascii="黑体" w:hAnsi="黑体" w:eastAsia="黑体" w:cs="黑体"/>
          <w:sz w:val="21"/>
          <w:szCs w:val="21"/>
        </w:rPr>
        <w:fldChar w:fldCharType="begin"/>
      </w:r>
      <w:r>
        <w:rPr>
          <w:rFonts w:hint="eastAsia" w:ascii="黑体" w:hAnsi="黑体" w:eastAsia="黑体" w:cs="黑体"/>
          <w:sz w:val="21"/>
          <w:szCs w:val="21"/>
        </w:rPr>
        <w:instrText xml:space="preserve"> HYPERLINK \l _Toc19267 </w:instrText>
      </w:r>
      <w:r>
        <w:rPr>
          <w:rFonts w:hint="eastAsia" w:ascii="黑体" w:hAnsi="黑体" w:eastAsia="黑体" w:cs="黑体"/>
          <w:sz w:val="21"/>
          <w:szCs w:val="21"/>
        </w:rPr>
        <w:fldChar w:fldCharType="separate"/>
      </w:r>
      <w:r>
        <w:rPr>
          <w:rFonts w:hint="eastAsia" w:ascii="黑体" w:hAnsi="黑体" w:eastAsia="黑体" w:cs="黑体"/>
          <w:sz w:val="21"/>
          <w:szCs w:val="21"/>
          <w:highlight w:val="none"/>
        </w:rPr>
        <w:t xml:space="preserve">第五部分 </w:t>
      </w:r>
      <w:r>
        <w:rPr>
          <w:rFonts w:hint="eastAsia" w:ascii="黑体" w:hAnsi="黑体" w:eastAsia="黑体" w:cs="黑体"/>
          <w:sz w:val="21"/>
          <w:szCs w:val="21"/>
          <w:highlight w:val="none"/>
          <w:lang w:val="en-US" w:eastAsia="zh-CN"/>
        </w:rPr>
        <w:t xml:space="preserve"> </w:t>
      </w:r>
      <w:r>
        <w:rPr>
          <w:rFonts w:hint="eastAsia" w:ascii="黑体" w:hAnsi="黑体" w:eastAsia="黑体" w:cs="黑体"/>
          <w:sz w:val="21"/>
          <w:szCs w:val="21"/>
          <w:highlight w:val="none"/>
        </w:rPr>
        <w:t>附表</w:t>
      </w:r>
      <w:r>
        <w:rPr>
          <w:rFonts w:hint="eastAsia" w:ascii="黑体" w:hAnsi="黑体" w:eastAsia="黑体" w:cs="黑体"/>
          <w:sz w:val="21"/>
          <w:szCs w:val="21"/>
        </w:rPr>
        <w:tab/>
      </w:r>
      <w:r>
        <w:rPr>
          <w:rFonts w:hint="eastAsia" w:ascii="黑体" w:hAnsi="黑体" w:eastAsia="黑体" w:cs="黑体"/>
          <w:sz w:val="21"/>
          <w:szCs w:val="21"/>
        </w:rPr>
        <w:fldChar w:fldCharType="begin"/>
      </w:r>
      <w:r>
        <w:rPr>
          <w:rFonts w:hint="eastAsia" w:ascii="黑体" w:hAnsi="黑体" w:eastAsia="黑体" w:cs="黑体"/>
          <w:sz w:val="21"/>
          <w:szCs w:val="21"/>
        </w:rPr>
        <w:instrText xml:space="preserve"> PAGEREF _Toc19267 \h </w:instrText>
      </w:r>
      <w:r>
        <w:rPr>
          <w:rFonts w:hint="eastAsia" w:ascii="黑体" w:hAnsi="黑体" w:eastAsia="黑体" w:cs="黑体"/>
          <w:sz w:val="21"/>
          <w:szCs w:val="21"/>
        </w:rPr>
        <w:fldChar w:fldCharType="separate"/>
      </w:r>
      <w:r>
        <w:rPr>
          <w:rFonts w:hint="eastAsia" w:ascii="黑体" w:hAnsi="黑体" w:eastAsia="黑体" w:cs="黑体"/>
          <w:sz w:val="21"/>
          <w:szCs w:val="21"/>
        </w:rPr>
        <w:t>30</w:t>
      </w:r>
      <w:r>
        <w:rPr>
          <w:rFonts w:hint="eastAsia" w:ascii="黑体" w:hAnsi="黑体" w:eastAsia="黑体" w:cs="黑体"/>
          <w:sz w:val="21"/>
          <w:szCs w:val="21"/>
        </w:rPr>
        <w:fldChar w:fldCharType="end"/>
      </w:r>
      <w:r>
        <w:rPr>
          <w:rFonts w:hint="eastAsia" w:ascii="黑体" w:hAnsi="黑体" w:eastAsia="黑体" w:cs="黑体"/>
          <w:sz w:val="21"/>
          <w:szCs w:val="21"/>
        </w:rPr>
        <w:fldChar w:fldCharType="end"/>
      </w:r>
    </w:p>
    <w:p w14:paraId="30707789">
      <w:pPr>
        <w:pStyle w:val="14"/>
        <w:keepNext w:val="0"/>
        <w:keepLines w:val="0"/>
        <w:pageBreakBefore w:val="0"/>
        <w:tabs>
          <w:tab w:val="right" w:leader="dot" w:pos="8306"/>
          <w:tab w:val="clear" w:pos="8296"/>
        </w:tabs>
        <w:kinsoku/>
        <w:wordWrap/>
        <w:overflowPunct/>
        <w:topLinePunct w:val="0"/>
        <w:autoSpaceDE/>
        <w:autoSpaceDN/>
        <w:bidi w:val="0"/>
        <w:adjustRightInd/>
        <w:snapToGrid/>
        <w:spacing w:line="380" w:lineRule="exact"/>
        <w:ind w:left="0" w:leftChars="0"/>
        <w:jc w:val="both"/>
        <w:textAlignment w:val="auto"/>
        <w:rPr>
          <w:rFonts w:hint="eastAsia" w:ascii="黑体" w:hAnsi="黑体" w:eastAsia="黑体" w:cs="黑体"/>
          <w:sz w:val="21"/>
          <w:szCs w:val="21"/>
        </w:rPr>
      </w:pPr>
      <w:r>
        <w:rPr>
          <w:rFonts w:hint="eastAsia" w:ascii="黑体" w:hAnsi="黑体" w:eastAsia="黑体" w:cs="黑体"/>
          <w:sz w:val="21"/>
          <w:szCs w:val="21"/>
        </w:rPr>
        <w:fldChar w:fldCharType="begin"/>
      </w:r>
      <w:r>
        <w:rPr>
          <w:rFonts w:hint="eastAsia" w:ascii="黑体" w:hAnsi="黑体" w:eastAsia="黑体" w:cs="黑体"/>
          <w:sz w:val="21"/>
          <w:szCs w:val="21"/>
        </w:rPr>
        <w:instrText xml:space="preserve"> HYPERLINK \l _Toc4480 </w:instrText>
      </w:r>
      <w:r>
        <w:rPr>
          <w:rFonts w:hint="eastAsia" w:ascii="黑体" w:hAnsi="黑体" w:eastAsia="黑体" w:cs="黑体"/>
          <w:sz w:val="21"/>
          <w:szCs w:val="21"/>
        </w:rPr>
        <w:fldChar w:fldCharType="separate"/>
      </w:r>
      <w:r>
        <w:rPr>
          <w:rFonts w:hint="eastAsia" w:ascii="黑体" w:hAnsi="黑体" w:eastAsia="黑体" w:cs="黑体"/>
          <w:bCs w:val="0"/>
          <w:sz w:val="21"/>
          <w:szCs w:val="21"/>
        </w:rPr>
        <w:t>一、收入支出决算总表</w:t>
      </w:r>
      <w:r>
        <w:rPr>
          <w:rFonts w:hint="eastAsia" w:ascii="黑体" w:hAnsi="黑体" w:eastAsia="黑体" w:cs="黑体"/>
          <w:sz w:val="21"/>
          <w:szCs w:val="21"/>
        </w:rPr>
        <w:tab/>
      </w:r>
      <w:r>
        <w:rPr>
          <w:rFonts w:hint="eastAsia" w:ascii="黑体" w:hAnsi="黑体" w:eastAsia="黑体" w:cs="黑体"/>
          <w:sz w:val="21"/>
          <w:szCs w:val="21"/>
        </w:rPr>
        <w:fldChar w:fldCharType="begin"/>
      </w:r>
      <w:r>
        <w:rPr>
          <w:rFonts w:hint="eastAsia" w:ascii="黑体" w:hAnsi="黑体" w:eastAsia="黑体" w:cs="黑体"/>
          <w:sz w:val="21"/>
          <w:szCs w:val="21"/>
        </w:rPr>
        <w:instrText xml:space="preserve"> PAGEREF _Toc4480 \h </w:instrText>
      </w:r>
      <w:r>
        <w:rPr>
          <w:rFonts w:hint="eastAsia" w:ascii="黑体" w:hAnsi="黑体" w:eastAsia="黑体" w:cs="黑体"/>
          <w:sz w:val="21"/>
          <w:szCs w:val="21"/>
        </w:rPr>
        <w:fldChar w:fldCharType="separate"/>
      </w:r>
      <w:r>
        <w:rPr>
          <w:rFonts w:hint="eastAsia" w:ascii="黑体" w:hAnsi="黑体" w:eastAsia="黑体" w:cs="黑体"/>
          <w:sz w:val="21"/>
          <w:szCs w:val="21"/>
        </w:rPr>
        <w:t>30</w:t>
      </w:r>
      <w:r>
        <w:rPr>
          <w:rFonts w:hint="eastAsia" w:ascii="黑体" w:hAnsi="黑体" w:eastAsia="黑体" w:cs="黑体"/>
          <w:sz w:val="21"/>
          <w:szCs w:val="21"/>
        </w:rPr>
        <w:fldChar w:fldCharType="end"/>
      </w:r>
      <w:r>
        <w:rPr>
          <w:rFonts w:hint="eastAsia" w:ascii="黑体" w:hAnsi="黑体" w:eastAsia="黑体" w:cs="黑体"/>
          <w:sz w:val="21"/>
          <w:szCs w:val="21"/>
        </w:rPr>
        <w:fldChar w:fldCharType="end"/>
      </w:r>
    </w:p>
    <w:p w14:paraId="5447C362">
      <w:pPr>
        <w:pStyle w:val="14"/>
        <w:keepNext w:val="0"/>
        <w:keepLines w:val="0"/>
        <w:pageBreakBefore w:val="0"/>
        <w:tabs>
          <w:tab w:val="right" w:leader="dot" w:pos="8306"/>
          <w:tab w:val="clear" w:pos="8296"/>
        </w:tabs>
        <w:kinsoku/>
        <w:wordWrap/>
        <w:overflowPunct/>
        <w:topLinePunct w:val="0"/>
        <w:autoSpaceDE/>
        <w:autoSpaceDN/>
        <w:bidi w:val="0"/>
        <w:adjustRightInd/>
        <w:snapToGrid/>
        <w:spacing w:line="380" w:lineRule="exact"/>
        <w:ind w:left="0" w:leftChars="0"/>
        <w:jc w:val="both"/>
        <w:textAlignment w:val="auto"/>
        <w:rPr>
          <w:rFonts w:hint="eastAsia" w:ascii="黑体" w:hAnsi="黑体" w:eastAsia="黑体" w:cs="黑体"/>
          <w:sz w:val="21"/>
          <w:szCs w:val="21"/>
        </w:rPr>
      </w:pPr>
      <w:r>
        <w:rPr>
          <w:rFonts w:hint="eastAsia" w:ascii="黑体" w:hAnsi="黑体" w:eastAsia="黑体" w:cs="黑体"/>
          <w:sz w:val="21"/>
          <w:szCs w:val="21"/>
        </w:rPr>
        <w:fldChar w:fldCharType="begin"/>
      </w:r>
      <w:r>
        <w:rPr>
          <w:rFonts w:hint="eastAsia" w:ascii="黑体" w:hAnsi="黑体" w:eastAsia="黑体" w:cs="黑体"/>
          <w:sz w:val="21"/>
          <w:szCs w:val="21"/>
        </w:rPr>
        <w:instrText xml:space="preserve"> HYPERLINK \l _Toc10353 </w:instrText>
      </w:r>
      <w:r>
        <w:rPr>
          <w:rFonts w:hint="eastAsia" w:ascii="黑体" w:hAnsi="黑体" w:eastAsia="黑体" w:cs="黑体"/>
          <w:sz w:val="21"/>
          <w:szCs w:val="21"/>
        </w:rPr>
        <w:fldChar w:fldCharType="separate"/>
      </w:r>
      <w:r>
        <w:rPr>
          <w:rFonts w:hint="eastAsia" w:ascii="黑体" w:hAnsi="黑体" w:eastAsia="黑体" w:cs="黑体"/>
          <w:bCs w:val="0"/>
          <w:sz w:val="21"/>
          <w:szCs w:val="21"/>
        </w:rPr>
        <w:t>二、收入决算表</w:t>
      </w:r>
      <w:r>
        <w:rPr>
          <w:rFonts w:hint="eastAsia" w:ascii="黑体" w:hAnsi="黑体" w:eastAsia="黑体" w:cs="黑体"/>
          <w:sz w:val="21"/>
          <w:szCs w:val="21"/>
        </w:rPr>
        <w:tab/>
      </w:r>
      <w:r>
        <w:rPr>
          <w:rFonts w:hint="eastAsia" w:ascii="黑体" w:hAnsi="黑体" w:eastAsia="黑体" w:cs="黑体"/>
          <w:sz w:val="21"/>
          <w:szCs w:val="21"/>
        </w:rPr>
        <w:fldChar w:fldCharType="begin"/>
      </w:r>
      <w:r>
        <w:rPr>
          <w:rFonts w:hint="eastAsia" w:ascii="黑体" w:hAnsi="黑体" w:eastAsia="黑体" w:cs="黑体"/>
          <w:sz w:val="21"/>
          <w:szCs w:val="21"/>
        </w:rPr>
        <w:instrText xml:space="preserve"> PAGEREF _Toc10353 \h </w:instrText>
      </w:r>
      <w:r>
        <w:rPr>
          <w:rFonts w:hint="eastAsia" w:ascii="黑体" w:hAnsi="黑体" w:eastAsia="黑体" w:cs="黑体"/>
          <w:sz w:val="21"/>
          <w:szCs w:val="21"/>
        </w:rPr>
        <w:fldChar w:fldCharType="separate"/>
      </w:r>
      <w:r>
        <w:rPr>
          <w:rFonts w:hint="eastAsia" w:ascii="黑体" w:hAnsi="黑体" w:eastAsia="黑体" w:cs="黑体"/>
          <w:sz w:val="21"/>
          <w:szCs w:val="21"/>
        </w:rPr>
        <w:t>30</w:t>
      </w:r>
      <w:r>
        <w:rPr>
          <w:rFonts w:hint="eastAsia" w:ascii="黑体" w:hAnsi="黑体" w:eastAsia="黑体" w:cs="黑体"/>
          <w:sz w:val="21"/>
          <w:szCs w:val="21"/>
        </w:rPr>
        <w:fldChar w:fldCharType="end"/>
      </w:r>
      <w:r>
        <w:rPr>
          <w:rFonts w:hint="eastAsia" w:ascii="黑体" w:hAnsi="黑体" w:eastAsia="黑体" w:cs="黑体"/>
          <w:sz w:val="21"/>
          <w:szCs w:val="21"/>
        </w:rPr>
        <w:fldChar w:fldCharType="end"/>
      </w:r>
    </w:p>
    <w:p w14:paraId="513B4BE5">
      <w:pPr>
        <w:pStyle w:val="14"/>
        <w:keepNext w:val="0"/>
        <w:keepLines w:val="0"/>
        <w:pageBreakBefore w:val="0"/>
        <w:tabs>
          <w:tab w:val="right" w:leader="dot" w:pos="8306"/>
          <w:tab w:val="clear" w:pos="8296"/>
        </w:tabs>
        <w:kinsoku/>
        <w:wordWrap/>
        <w:overflowPunct/>
        <w:topLinePunct w:val="0"/>
        <w:autoSpaceDE/>
        <w:autoSpaceDN/>
        <w:bidi w:val="0"/>
        <w:adjustRightInd/>
        <w:snapToGrid/>
        <w:spacing w:line="380" w:lineRule="exact"/>
        <w:ind w:left="0" w:leftChars="0"/>
        <w:jc w:val="both"/>
        <w:textAlignment w:val="auto"/>
        <w:rPr>
          <w:rFonts w:hint="eastAsia" w:ascii="黑体" w:hAnsi="黑体" w:eastAsia="黑体" w:cs="黑体"/>
          <w:sz w:val="21"/>
          <w:szCs w:val="21"/>
        </w:rPr>
      </w:pPr>
      <w:r>
        <w:rPr>
          <w:rFonts w:hint="eastAsia" w:ascii="黑体" w:hAnsi="黑体" w:eastAsia="黑体" w:cs="黑体"/>
          <w:sz w:val="21"/>
          <w:szCs w:val="21"/>
        </w:rPr>
        <w:fldChar w:fldCharType="begin"/>
      </w:r>
      <w:r>
        <w:rPr>
          <w:rFonts w:hint="eastAsia" w:ascii="黑体" w:hAnsi="黑体" w:eastAsia="黑体" w:cs="黑体"/>
          <w:sz w:val="21"/>
          <w:szCs w:val="21"/>
        </w:rPr>
        <w:instrText xml:space="preserve"> HYPERLINK \l _Toc12755 </w:instrText>
      </w:r>
      <w:r>
        <w:rPr>
          <w:rFonts w:hint="eastAsia" w:ascii="黑体" w:hAnsi="黑体" w:eastAsia="黑体" w:cs="黑体"/>
          <w:sz w:val="21"/>
          <w:szCs w:val="21"/>
        </w:rPr>
        <w:fldChar w:fldCharType="separate"/>
      </w:r>
      <w:r>
        <w:rPr>
          <w:rFonts w:hint="eastAsia" w:ascii="黑体" w:hAnsi="黑体" w:eastAsia="黑体" w:cs="黑体"/>
          <w:bCs w:val="0"/>
          <w:sz w:val="21"/>
          <w:szCs w:val="21"/>
        </w:rPr>
        <w:t>三、支出决算表</w:t>
      </w:r>
      <w:r>
        <w:rPr>
          <w:rFonts w:hint="eastAsia" w:ascii="黑体" w:hAnsi="黑体" w:eastAsia="黑体" w:cs="黑体"/>
          <w:sz w:val="21"/>
          <w:szCs w:val="21"/>
        </w:rPr>
        <w:tab/>
      </w:r>
      <w:r>
        <w:rPr>
          <w:rFonts w:hint="eastAsia" w:ascii="黑体" w:hAnsi="黑体" w:eastAsia="黑体" w:cs="黑体"/>
          <w:sz w:val="21"/>
          <w:szCs w:val="21"/>
        </w:rPr>
        <w:fldChar w:fldCharType="begin"/>
      </w:r>
      <w:r>
        <w:rPr>
          <w:rFonts w:hint="eastAsia" w:ascii="黑体" w:hAnsi="黑体" w:eastAsia="黑体" w:cs="黑体"/>
          <w:sz w:val="21"/>
          <w:szCs w:val="21"/>
        </w:rPr>
        <w:instrText xml:space="preserve"> PAGEREF _Toc12755 \h </w:instrText>
      </w:r>
      <w:r>
        <w:rPr>
          <w:rFonts w:hint="eastAsia" w:ascii="黑体" w:hAnsi="黑体" w:eastAsia="黑体" w:cs="黑体"/>
          <w:sz w:val="21"/>
          <w:szCs w:val="21"/>
        </w:rPr>
        <w:fldChar w:fldCharType="separate"/>
      </w:r>
      <w:r>
        <w:rPr>
          <w:rFonts w:hint="eastAsia" w:ascii="黑体" w:hAnsi="黑体" w:eastAsia="黑体" w:cs="黑体"/>
          <w:sz w:val="21"/>
          <w:szCs w:val="21"/>
        </w:rPr>
        <w:t>30</w:t>
      </w:r>
      <w:r>
        <w:rPr>
          <w:rFonts w:hint="eastAsia" w:ascii="黑体" w:hAnsi="黑体" w:eastAsia="黑体" w:cs="黑体"/>
          <w:sz w:val="21"/>
          <w:szCs w:val="21"/>
        </w:rPr>
        <w:fldChar w:fldCharType="end"/>
      </w:r>
      <w:r>
        <w:rPr>
          <w:rFonts w:hint="eastAsia" w:ascii="黑体" w:hAnsi="黑体" w:eastAsia="黑体" w:cs="黑体"/>
          <w:sz w:val="21"/>
          <w:szCs w:val="21"/>
        </w:rPr>
        <w:fldChar w:fldCharType="end"/>
      </w:r>
    </w:p>
    <w:p w14:paraId="65DF3B1D">
      <w:pPr>
        <w:pStyle w:val="14"/>
        <w:keepNext w:val="0"/>
        <w:keepLines w:val="0"/>
        <w:pageBreakBefore w:val="0"/>
        <w:tabs>
          <w:tab w:val="right" w:leader="dot" w:pos="8306"/>
          <w:tab w:val="clear" w:pos="8296"/>
        </w:tabs>
        <w:kinsoku/>
        <w:wordWrap/>
        <w:overflowPunct/>
        <w:topLinePunct w:val="0"/>
        <w:autoSpaceDE/>
        <w:autoSpaceDN/>
        <w:bidi w:val="0"/>
        <w:adjustRightInd/>
        <w:snapToGrid/>
        <w:spacing w:line="380" w:lineRule="exact"/>
        <w:ind w:left="0" w:leftChars="0"/>
        <w:jc w:val="both"/>
        <w:textAlignment w:val="auto"/>
        <w:rPr>
          <w:rFonts w:hint="eastAsia" w:ascii="黑体" w:hAnsi="黑体" w:eastAsia="黑体" w:cs="黑体"/>
          <w:sz w:val="21"/>
          <w:szCs w:val="21"/>
        </w:rPr>
      </w:pPr>
      <w:r>
        <w:rPr>
          <w:rFonts w:hint="eastAsia" w:ascii="黑体" w:hAnsi="黑体" w:eastAsia="黑体" w:cs="黑体"/>
          <w:sz w:val="21"/>
          <w:szCs w:val="21"/>
        </w:rPr>
        <w:fldChar w:fldCharType="begin"/>
      </w:r>
      <w:r>
        <w:rPr>
          <w:rFonts w:hint="eastAsia" w:ascii="黑体" w:hAnsi="黑体" w:eastAsia="黑体" w:cs="黑体"/>
          <w:sz w:val="21"/>
          <w:szCs w:val="21"/>
        </w:rPr>
        <w:instrText xml:space="preserve"> HYPERLINK \l _Toc18814 </w:instrText>
      </w:r>
      <w:r>
        <w:rPr>
          <w:rFonts w:hint="eastAsia" w:ascii="黑体" w:hAnsi="黑体" w:eastAsia="黑体" w:cs="黑体"/>
          <w:sz w:val="21"/>
          <w:szCs w:val="21"/>
        </w:rPr>
        <w:fldChar w:fldCharType="separate"/>
      </w:r>
      <w:r>
        <w:rPr>
          <w:rFonts w:hint="eastAsia" w:ascii="黑体" w:hAnsi="黑体" w:eastAsia="黑体" w:cs="黑体"/>
          <w:bCs w:val="0"/>
          <w:sz w:val="21"/>
          <w:szCs w:val="21"/>
        </w:rPr>
        <w:t>四、财政拨款收入支出决算总表</w:t>
      </w:r>
      <w:r>
        <w:rPr>
          <w:rFonts w:hint="eastAsia" w:ascii="黑体" w:hAnsi="黑体" w:eastAsia="黑体" w:cs="黑体"/>
          <w:sz w:val="21"/>
          <w:szCs w:val="21"/>
        </w:rPr>
        <w:tab/>
      </w:r>
      <w:r>
        <w:rPr>
          <w:rFonts w:hint="eastAsia" w:ascii="黑体" w:hAnsi="黑体" w:eastAsia="黑体" w:cs="黑体"/>
          <w:sz w:val="21"/>
          <w:szCs w:val="21"/>
        </w:rPr>
        <w:fldChar w:fldCharType="begin"/>
      </w:r>
      <w:r>
        <w:rPr>
          <w:rFonts w:hint="eastAsia" w:ascii="黑体" w:hAnsi="黑体" w:eastAsia="黑体" w:cs="黑体"/>
          <w:sz w:val="21"/>
          <w:szCs w:val="21"/>
        </w:rPr>
        <w:instrText xml:space="preserve"> PAGEREF _Toc18814 \h </w:instrText>
      </w:r>
      <w:r>
        <w:rPr>
          <w:rFonts w:hint="eastAsia" w:ascii="黑体" w:hAnsi="黑体" w:eastAsia="黑体" w:cs="黑体"/>
          <w:sz w:val="21"/>
          <w:szCs w:val="21"/>
        </w:rPr>
        <w:fldChar w:fldCharType="separate"/>
      </w:r>
      <w:r>
        <w:rPr>
          <w:rFonts w:hint="eastAsia" w:ascii="黑体" w:hAnsi="黑体" w:eastAsia="黑体" w:cs="黑体"/>
          <w:sz w:val="21"/>
          <w:szCs w:val="21"/>
        </w:rPr>
        <w:t>30</w:t>
      </w:r>
      <w:r>
        <w:rPr>
          <w:rFonts w:hint="eastAsia" w:ascii="黑体" w:hAnsi="黑体" w:eastAsia="黑体" w:cs="黑体"/>
          <w:sz w:val="21"/>
          <w:szCs w:val="21"/>
        </w:rPr>
        <w:fldChar w:fldCharType="end"/>
      </w:r>
      <w:r>
        <w:rPr>
          <w:rFonts w:hint="eastAsia" w:ascii="黑体" w:hAnsi="黑体" w:eastAsia="黑体" w:cs="黑体"/>
          <w:sz w:val="21"/>
          <w:szCs w:val="21"/>
        </w:rPr>
        <w:fldChar w:fldCharType="end"/>
      </w:r>
    </w:p>
    <w:p w14:paraId="450846E2">
      <w:pPr>
        <w:pStyle w:val="14"/>
        <w:keepNext w:val="0"/>
        <w:keepLines w:val="0"/>
        <w:pageBreakBefore w:val="0"/>
        <w:tabs>
          <w:tab w:val="right" w:leader="dot" w:pos="8306"/>
          <w:tab w:val="clear" w:pos="8296"/>
        </w:tabs>
        <w:kinsoku/>
        <w:wordWrap/>
        <w:overflowPunct/>
        <w:topLinePunct w:val="0"/>
        <w:autoSpaceDE/>
        <w:autoSpaceDN/>
        <w:bidi w:val="0"/>
        <w:adjustRightInd/>
        <w:snapToGrid/>
        <w:spacing w:line="380" w:lineRule="exact"/>
        <w:ind w:left="0" w:leftChars="0"/>
        <w:jc w:val="both"/>
        <w:textAlignment w:val="auto"/>
        <w:rPr>
          <w:rFonts w:hint="eastAsia" w:ascii="黑体" w:hAnsi="黑体" w:eastAsia="黑体" w:cs="黑体"/>
          <w:sz w:val="21"/>
          <w:szCs w:val="21"/>
        </w:rPr>
      </w:pPr>
      <w:r>
        <w:rPr>
          <w:rFonts w:hint="eastAsia" w:ascii="黑体" w:hAnsi="黑体" w:eastAsia="黑体" w:cs="黑体"/>
          <w:sz w:val="21"/>
          <w:szCs w:val="21"/>
        </w:rPr>
        <w:fldChar w:fldCharType="begin"/>
      </w:r>
      <w:r>
        <w:rPr>
          <w:rFonts w:hint="eastAsia" w:ascii="黑体" w:hAnsi="黑体" w:eastAsia="黑体" w:cs="黑体"/>
          <w:sz w:val="21"/>
          <w:szCs w:val="21"/>
        </w:rPr>
        <w:instrText xml:space="preserve"> HYPERLINK \l _Toc19384 </w:instrText>
      </w:r>
      <w:r>
        <w:rPr>
          <w:rFonts w:hint="eastAsia" w:ascii="黑体" w:hAnsi="黑体" w:eastAsia="黑体" w:cs="黑体"/>
          <w:sz w:val="21"/>
          <w:szCs w:val="21"/>
        </w:rPr>
        <w:fldChar w:fldCharType="separate"/>
      </w:r>
      <w:r>
        <w:rPr>
          <w:rFonts w:hint="eastAsia" w:ascii="黑体" w:hAnsi="黑体" w:eastAsia="黑体" w:cs="黑体"/>
          <w:bCs w:val="0"/>
          <w:sz w:val="21"/>
          <w:szCs w:val="21"/>
        </w:rPr>
        <w:t>五、财政拨款支出决算明细表</w:t>
      </w:r>
      <w:r>
        <w:rPr>
          <w:rFonts w:hint="eastAsia" w:ascii="黑体" w:hAnsi="黑体" w:eastAsia="黑体" w:cs="黑体"/>
          <w:sz w:val="21"/>
          <w:szCs w:val="21"/>
        </w:rPr>
        <w:tab/>
      </w:r>
      <w:r>
        <w:rPr>
          <w:rFonts w:hint="eastAsia" w:ascii="黑体" w:hAnsi="黑体" w:eastAsia="黑体" w:cs="黑体"/>
          <w:sz w:val="21"/>
          <w:szCs w:val="21"/>
        </w:rPr>
        <w:fldChar w:fldCharType="begin"/>
      </w:r>
      <w:r>
        <w:rPr>
          <w:rFonts w:hint="eastAsia" w:ascii="黑体" w:hAnsi="黑体" w:eastAsia="黑体" w:cs="黑体"/>
          <w:sz w:val="21"/>
          <w:szCs w:val="21"/>
        </w:rPr>
        <w:instrText xml:space="preserve"> PAGEREF _Toc19384 \h </w:instrText>
      </w:r>
      <w:r>
        <w:rPr>
          <w:rFonts w:hint="eastAsia" w:ascii="黑体" w:hAnsi="黑体" w:eastAsia="黑体" w:cs="黑体"/>
          <w:sz w:val="21"/>
          <w:szCs w:val="21"/>
        </w:rPr>
        <w:fldChar w:fldCharType="separate"/>
      </w:r>
      <w:r>
        <w:rPr>
          <w:rFonts w:hint="eastAsia" w:ascii="黑体" w:hAnsi="黑体" w:eastAsia="黑体" w:cs="黑体"/>
          <w:sz w:val="21"/>
          <w:szCs w:val="21"/>
        </w:rPr>
        <w:t>30</w:t>
      </w:r>
      <w:r>
        <w:rPr>
          <w:rFonts w:hint="eastAsia" w:ascii="黑体" w:hAnsi="黑体" w:eastAsia="黑体" w:cs="黑体"/>
          <w:sz w:val="21"/>
          <w:szCs w:val="21"/>
        </w:rPr>
        <w:fldChar w:fldCharType="end"/>
      </w:r>
      <w:r>
        <w:rPr>
          <w:rFonts w:hint="eastAsia" w:ascii="黑体" w:hAnsi="黑体" w:eastAsia="黑体" w:cs="黑体"/>
          <w:sz w:val="21"/>
          <w:szCs w:val="21"/>
        </w:rPr>
        <w:fldChar w:fldCharType="end"/>
      </w:r>
    </w:p>
    <w:p w14:paraId="2EECB13D">
      <w:pPr>
        <w:pStyle w:val="14"/>
        <w:keepNext w:val="0"/>
        <w:keepLines w:val="0"/>
        <w:pageBreakBefore w:val="0"/>
        <w:tabs>
          <w:tab w:val="right" w:leader="dot" w:pos="8306"/>
          <w:tab w:val="clear" w:pos="8296"/>
        </w:tabs>
        <w:kinsoku/>
        <w:wordWrap/>
        <w:overflowPunct/>
        <w:topLinePunct w:val="0"/>
        <w:autoSpaceDE/>
        <w:autoSpaceDN/>
        <w:bidi w:val="0"/>
        <w:adjustRightInd/>
        <w:snapToGrid/>
        <w:spacing w:line="380" w:lineRule="exact"/>
        <w:ind w:left="0" w:leftChars="0"/>
        <w:jc w:val="both"/>
        <w:textAlignment w:val="auto"/>
        <w:rPr>
          <w:rFonts w:hint="eastAsia" w:ascii="黑体" w:hAnsi="黑体" w:eastAsia="黑体" w:cs="黑体"/>
          <w:sz w:val="21"/>
          <w:szCs w:val="21"/>
        </w:rPr>
      </w:pPr>
      <w:r>
        <w:rPr>
          <w:rFonts w:hint="eastAsia" w:ascii="黑体" w:hAnsi="黑体" w:eastAsia="黑体" w:cs="黑体"/>
          <w:sz w:val="21"/>
          <w:szCs w:val="21"/>
        </w:rPr>
        <w:fldChar w:fldCharType="begin"/>
      </w:r>
      <w:r>
        <w:rPr>
          <w:rFonts w:hint="eastAsia" w:ascii="黑体" w:hAnsi="黑体" w:eastAsia="黑体" w:cs="黑体"/>
          <w:sz w:val="21"/>
          <w:szCs w:val="21"/>
        </w:rPr>
        <w:instrText xml:space="preserve"> HYPERLINK \l _Toc31559 </w:instrText>
      </w:r>
      <w:r>
        <w:rPr>
          <w:rFonts w:hint="eastAsia" w:ascii="黑体" w:hAnsi="黑体" w:eastAsia="黑体" w:cs="黑体"/>
          <w:sz w:val="21"/>
          <w:szCs w:val="21"/>
        </w:rPr>
        <w:fldChar w:fldCharType="separate"/>
      </w:r>
      <w:r>
        <w:rPr>
          <w:rFonts w:hint="eastAsia" w:ascii="黑体" w:hAnsi="黑体" w:eastAsia="黑体" w:cs="黑体"/>
          <w:bCs w:val="0"/>
          <w:sz w:val="21"/>
          <w:szCs w:val="21"/>
        </w:rPr>
        <w:t>六、一般公共预算财政拨款支出决算表</w:t>
      </w:r>
      <w:r>
        <w:rPr>
          <w:rFonts w:hint="eastAsia" w:ascii="黑体" w:hAnsi="黑体" w:eastAsia="黑体" w:cs="黑体"/>
          <w:sz w:val="21"/>
          <w:szCs w:val="21"/>
        </w:rPr>
        <w:tab/>
      </w:r>
      <w:r>
        <w:rPr>
          <w:rFonts w:hint="eastAsia" w:ascii="黑体" w:hAnsi="黑体" w:eastAsia="黑体" w:cs="黑体"/>
          <w:sz w:val="21"/>
          <w:szCs w:val="21"/>
        </w:rPr>
        <w:fldChar w:fldCharType="begin"/>
      </w:r>
      <w:r>
        <w:rPr>
          <w:rFonts w:hint="eastAsia" w:ascii="黑体" w:hAnsi="黑体" w:eastAsia="黑体" w:cs="黑体"/>
          <w:sz w:val="21"/>
          <w:szCs w:val="21"/>
        </w:rPr>
        <w:instrText xml:space="preserve"> PAGEREF _Toc31559 \h </w:instrText>
      </w:r>
      <w:r>
        <w:rPr>
          <w:rFonts w:hint="eastAsia" w:ascii="黑体" w:hAnsi="黑体" w:eastAsia="黑体" w:cs="黑体"/>
          <w:sz w:val="21"/>
          <w:szCs w:val="21"/>
        </w:rPr>
        <w:fldChar w:fldCharType="separate"/>
      </w:r>
      <w:r>
        <w:rPr>
          <w:rFonts w:hint="eastAsia" w:ascii="黑体" w:hAnsi="黑体" w:eastAsia="黑体" w:cs="黑体"/>
          <w:sz w:val="21"/>
          <w:szCs w:val="21"/>
        </w:rPr>
        <w:t>30</w:t>
      </w:r>
      <w:r>
        <w:rPr>
          <w:rFonts w:hint="eastAsia" w:ascii="黑体" w:hAnsi="黑体" w:eastAsia="黑体" w:cs="黑体"/>
          <w:sz w:val="21"/>
          <w:szCs w:val="21"/>
        </w:rPr>
        <w:fldChar w:fldCharType="end"/>
      </w:r>
      <w:r>
        <w:rPr>
          <w:rFonts w:hint="eastAsia" w:ascii="黑体" w:hAnsi="黑体" w:eastAsia="黑体" w:cs="黑体"/>
          <w:sz w:val="21"/>
          <w:szCs w:val="21"/>
        </w:rPr>
        <w:fldChar w:fldCharType="end"/>
      </w:r>
    </w:p>
    <w:p w14:paraId="6C852688">
      <w:pPr>
        <w:pStyle w:val="14"/>
        <w:keepNext w:val="0"/>
        <w:keepLines w:val="0"/>
        <w:pageBreakBefore w:val="0"/>
        <w:tabs>
          <w:tab w:val="right" w:leader="dot" w:pos="8306"/>
          <w:tab w:val="clear" w:pos="8296"/>
        </w:tabs>
        <w:kinsoku/>
        <w:wordWrap/>
        <w:overflowPunct/>
        <w:topLinePunct w:val="0"/>
        <w:autoSpaceDE/>
        <w:autoSpaceDN/>
        <w:bidi w:val="0"/>
        <w:adjustRightInd/>
        <w:snapToGrid/>
        <w:spacing w:line="380" w:lineRule="exact"/>
        <w:ind w:left="0" w:leftChars="0"/>
        <w:jc w:val="both"/>
        <w:textAlignment w:val="auto"/>
        <w:rPr>
          <w:rFonts w:hint="eastAsia" w:ascii="黑体" w:hAnsi="黑体" w:eastAsia="黑体" w:cs="黑体"/>
          <w:sz w:val="21"/>
          <w:szCs w:val="21"/>
        </w:rPr>
      </w:pPr>
      <w:r>
        <w:rPr>
          <w:rFonts w:hint="eastAsia" w:ascii="黑体" w:hAnsi="黑体" w:eastAsia="黑体" w:cs="黑体"/>
          <w:sz w:val="21"/>
          <w:szCs w:val="21"/>
        </w:rPr>
        <w:fldChar w:fldCharType="begin"/>
      </w:r>
      <w:r>
        <w:rPr>
          <w:rFonts w:hint="eastAsia" w:ascii="黑体" w:hAnsi="黑体" w:eastAsia="黑体" w:cs="黑体"/>
          <w:sz w:val="21"/>
          <w:szCs w:val="21"/>
        </w:rPr>
        <w:instrText xml:space="preserve"> HYPERLINK \l _Toc21524 </w:instrText>
      </w:r>
      <w:r>
        <w:rPr>
          <w:rFonts w:hint="eastAsia" w:ascii="黑体" w:hAnsi="黑体" w:eastAsia="黑体" w:cs="黑体"/>
          <w:sz w:val="21"/>
          <w:szCs w:val="21"/>
        </w:rPr>
        <w:fldChar w:fldCharType="separate"/>
      </w:r>
      <w:r>
        <w:rPr>
          <w:rFonts w:hint="eastAsia" w:ascii="黑体" w:hAnsi="黑体" w:eastAsia="黑体" w:cs="黑体"/>
          <w:bCs w:val="0"/>
          <w:sz w:val="21"/>
          <w:szCs w:val="21"/>
        </w:rPr>
        <w:t>七、一般公共预算财政拨款支出决算明细表</w:t>
      </w:r>
      <w:r>
        <w:rPr>
          <w:rFonts w:hint="eastAsia" w:ascii="黑体" w:hAnsi="黑体" w:eastAsia="黑体" w:cs="黑体"/>
          <w:sz w:val="21"/>
          <w:szCs w:val="21"/>
        </w:rPr>
        <w:tab/>
      </w:r>
      <w:r>
        <w:rPr>
          <w:rFonts w:hint="eastAsia" w:ascii="黑体" w:hAnsi="黑体" w:eastAsia="黑体" w:cs="黑体"/>
          <w:sz w:val="21"/>
          <w:szCs w:val="21"/>
        </w:rPr>
        <w:fldChar w:fldCharType="begin"/>
      </w:r>
      <w:r>
        <w:rPr>
          <w:rFonts w:hint="eastAsia" w:ascii="黑体" w:hAnsi="黑体" w:eastAsia="黑体" w:cs="黑体"/>
          <w:sz w:val="21"/>
          <w:szCs w:val="21"/>
        </w:rPr>
        <w:instrText xml:space="preserve"> PAGEREF _Toc21524 \h </w:instrText>
      </w:r>
      <w:r>
        <w:rPr>
          <w:rFonts w:hint="eastAsia" w:ascii="黑体" w:hAnsi="黑体" w:eastAsia="黑体" w:cs="黑体"/>
          <w:sz w:val="21"/>
          <w:szCs w:val="21"/>
        </w:rPr>
        <w:fldChar w:fldCharType="separate"/>
      </w:r>
      <w:r>
        <w:rPr>
          <w:rFonts w:hint="eastAsia" w:ascii="黑体" w:hAnsi="黑体" w:eastAsia="黑体" w:cs="黑体"/>
          <w:sz w:val="21"/>
          <w:szCs w:val="21"/>
        </w:rPr>
        <w:t>30</w:t>
      </w:r>
      <w:r>
        <w:rPr>
          <w:rFonts w:hint="eastAsia" w:ascii="黑体" w:hAnsi="黑体" w:eastAsia="黑体" w:cs="黑体"/>
          <w:sz w:val="21"/>
          <w:szCs w:val="21"/>
        </w:rPr>
        <w:fldChar w:fldCharType="end"/>
      </w:r>
      <w:r>
        <w:rPr>
          <w:rFonts w:hint="eastAsia" w:ascii="黑体" w:hAnsi="黑体" w:eastAsia="黑体" w:cs="黑体"/>
          <w:sz w:val="21"/>
          <w:szCs w:val="21"/>
        </w:rPr>
        <w:fldChar w:fldCharType="end"/>
      </w:r>
    </w:p>
    <w:p w14:paraId="36017659">
      <w:pPr>
        <w:pStyle w:val="14"/>
        <w:keepNext w:val="0"/>
        <w:keepLines w:val="0"/>
        <w:pageBreakBefore w:val="0"/>
        <w:tabs>
          <w:tab w:val="right" w:leader="dot" w:pos="8306"/>
          <w:tab w:val="clear" w:pos="8296"/>
        </w:tabs>
        <w:kinsoku/>
        <w:wordWrap/>
        <w:overflowPunct/>
        <w:topLinePunct w:val="0"/>
        <w:autoSpaceDE/>
        <w:autoSpaceDN/>
        <w:bidi w:val="0"/>
        <w:adjustRightInd/>
        <w:snapToGrid/>
        <w:spacing w:line="380" w:lineRule="exact"/>
        <w:ind w:left="0" w:leftChars="0"/>
        <w:jc w:val="both"/>
        <w:textAlignment w:val="auto"/>
        <w:rPr>
          <w:rFonts w:hint="eastAsia" w:ascii="黑体" w:hAnsi="黑体" w:eastAsia="黑体" w:cs="黑体"/>
          <w:sz w:val="21"/>
          <w:szCs w:val="21"/>
        </w:rPr>
      </w:pPr>
      <w:r>
        <w:rPr>
          <w:rFonts w:hint="eastAsia" w:ascii="黑体" w:hAnsi="黑体" w:eastAsia="黑体" w:cs="黑体"/>
          <w:sz w:val="21"/>
          <w:szCs w:val="21"/>
        </w:rPr>
        <w:fldChar w:fldCharType="begin"/>
      </w:r>
      <w:r>
        <w:rPr>
          <w:rFonts w:hint="eastAsia" w:ascii="黑体" w:hAnsi="黑体" w:eastAsia="黑体" w:cs="黑体"/>
          <w:sz w:val="21"/>
          <w:szCs w:val="21"/>
        </w:rPr>
        <w:instrText xml:space="preserve"> HYPERLINK \l _Toc13489 </w:instrText>
      </w:r>
      <w:r>
        <w:rPr>
          <w:rFonts w:hint="eastAsia" w:ascii="黑体" w:hAnsi="黑体" w:eastAsia="黑体" w:cs="黑体"/>
          <w:sz w:val="21"/>
          <w:szCs w:val="21"/>
        </w:rPr>
        <w:fldChar w:fldCharType="separate"/>
      </w:r>
      <w:r>
        <w:rPr>
          <w:rFonts w:hint="eastAsia" w:ascii="黑体" w:hAnsi="黑体" w:eastAsia="黑体" w:cs="黑体"/>
          <w:bCs w:val="0"/>
          <w:sz w:val="21"/>
          <w:szCs w:val="21"/>
        </w:rPr>
        <w:t>八、一般公共预算财政拨款基本支出决算表</w:t>
      </w:r>
      <w:r>
        <w:rPr>
          <w:rFonts w:hint="eastAsia" w:ascii="黑体" w:hAnsi="黑体" w:eastAsia="黑体" w:cs="黑体"/>
          <w:sz w:val="21"/>
          <w:szCs w:val="21"/>
        </w:rPr>
        <w:tab/>
      </w:r>
      <w:r>
        <w:rPr>
          <w:rFonts w:hint="eastAsia" w:ascii="黑体" w:hAnsi="黑体" w:eastAsia="黑体" w:cs="黑体"/>
          <w:sz w:val="21"/>
          <w:szCs w:val="21"/>
        </w:rPr>
        <w:fldChar w:fldCharType="begin"/>
      </w:r>
      <w:r>
        <w:rPr>
          <w:rFonts w:hint="eastAsia" w:ascii="黑体" w:hAnsi="黑体" w:eastAsia="黑体" w:cs="黑体"/>
          <w:sz w:val="21"/>
          <w:szCs w:val="21"/>
        </w:rPr>
        <w:instrText xml:space="preserve"> PAGEREF _Toc13489 \h </w:instrText>
      </w:r>
      <w:r>
        <w:rPr>
          <w:rFonts w:hint="eastAsia" w:ascii="黑体" w:hAnsi="黑体" w:eastAsia="黑体" w:cs="黑体"/>
          <w:sz w:val="21"/>
          <w:szCs w:val="21"/>
        </w:rPr>
        <w:fldChar w:fldCharType="separate"/>
      </w:r>
      <w:r>
        <w:rPr>
          <w:rFonts w:hint="eastAsia" w:ascii="黑体" w:hAnsi="黑体" w:eastAsia="黑体" w:cs="黑体"/>
          <w:sz w:val="21"/>
          <w:szCs w:val="21"/>
        </w:rPr>
        <w:t>30</w:t>
      </w:r>
      <w:r>
        <w:rPr>
          <w:rFonts w:hint="eastAsia" w:ascii="黑体" w:hAnsi="黑体" w:eastAsia="黑体" w:cs="黑体"/>
          <w:sz w:val="21"/>
          <w:szCs w:val="21"/>
        </w:rPr>
        <w:fldChar w:fldCharType="end"/>
      </w:r>
      <w:r>
        <w:rPr>
          <w:rFonts w:hint="eastAsia" w:ascii="黑体" w:hAnsi="黑体" w:eastAsia="黑体" w:cs="黑体"/>
          <w:sz w:val="21"/>
          <w:szCs w:val="21"/>
        </w:rPr>
        <w:fldChar w:fldCharType="end"/>
      </w:r>
    </w:p>
    <w:p w14:paraId="5B041837">
      <w:pPr>
        <w:pStyle w:val="14"/>
        <w:keepNext w:val="0"/>
        <w:keepLines w:val="0"/>
        <w:pageBreakBefore w:val="0"/>
        <w:tabs>
          <w:tab w:val="right" w:leader="dot" w:pos="8306"/>
          <w:tab w:val="clear" w:pos="8296"/>
        </w:tabs>
        <w:kinsoku/>
        <w:wordWrap/>
        <w:overflowPunct/>
        <w:topLinePunct w:val="0"/>
        <w:autoSpaceDE/>
        <w:autoSpaceDN/>
        <w:bidi w:val="0"/>
        <w:adjustRightInd/>
        <w:snapToGrid/>
        <w:spacing w:line="380" w:lineRule="exact"/>
        <w:ind w:left="0" w:leftChars="0"/>
        <w:jc w:val="both"/>
        <w:textAlignment w:val="auto"/>
        <w:rPr>
          <w:rFonts w:hint="eastAsia" w:ascii="黑体" w:hAnsi="黑体" w:eastAsia="黑体" w:cs="黑体"/>
          <w:sz w:val="21"/>
          <w:szCs w:val="21"/>
        </w:rPr>
      </w:pPr>
      <w:r>
        <w:rPr>
          <w:rFonts w:hint="eastAsia" w:ascii="黑体" w:hAnsi="黑体" w:eastAsia="黑体" w:cs="黑体"/>
          <w:sz w:val="21"/>
          <w:szCs w:val="21"/>
        </w:rPr>
        <w:fldChar w:fldCharType="begin"/>
      </w:r>
      <w:r>
        <w:rPr>
          <w:rFonts w:hint="eastAsia" w:ascii="黑体" w:hAnsi="黑体" w:eastAsia="黑体" w:cs="黑体"/>
          <w:sz w:val="21"/>
          <w:szCs w:val="21"/>
        </w:rPr>
        <w:instrText xml:space="preserve"> HYPERLINK \l _Toc11648 </w:instrText>
      </w:r>
      <w:r>
        <w:rPr>
          <w:rFonts w:hint="eastAsia" w:ascii="黑体" w:hAnsi="黑体" w:eastAsia="黑体" w:cs="黑体"/>
          <w:sz w:val="21"/>
          <w:szCs w:val="21"/>
        </w:rPr>
        <w:fldChar w:fldCharType="separate"/>
      </w:r>
      <w:r>
        <w:rPr>
          <w:rFonts w:hint="eastAsia" w:ascii="黑体" w:hAnsi="黑体" w:eastAsia="黑体" w:cs="黑体"/>
          <w:bCs w:val="0"/>
          <w:sz w:val="21"/>
          <w:szCs w:val="21"/>
        </w:rPr>
        <w:t>九、一般公共预算财政拨款项目支出决算表</w:t>
      </w:r>
      <w:r>
        <w:rPr>
          <w:rFonts w:hint="eastAsia" w:ascii="黑体" w:hAnsi="黑体" w:eastAsia="黑体" w:cs="黑体"/>
          <w:sz w:val="21"/>
          <w:szCs w:val="21"/>
        </w:rPr>
        <w:tab/>
      </w:r>
      <w:r>
        <w:rPr>
          <w:rFonts w:hint="eastAsia" w:ascii="黑体" w:hAnsi="黑体" w:eastAsia="黑体" w:cs="黑体"/>
          <w:sz w:val="21"/>
          <w:szCs w:val="21"/>
        </w:rPr>
        <w:fldChar w:fldCharType="begin"/>
      </w:r>
      <w:r>
        <w:rPr>
          <w:rFonts w:hint="eastAsia" w:ascii="黑体" w:hAnsi="黑体" w:eastAsia="黑体" w:cs="黑体"/>
          <w:sz w:val="21"/>
          <w:szCs w:val="21"/>
        </w:rPr>
        <w:instrText xml:space="preserve"> PAGEREF _Toc11648 \h </w:instrText>
      </w:r>
      <w:r>
        <w:rPr>
          <w:rFonts w:hint="eastAsia" w:ascii="黑体" w:hAnsi="黑体" w:eastAsia="黑体" w:cs="黑体"/>
          <w:sz w:val="21"/>
          <w:szCs w:val="21"/>
        </w:rPr>
        <w:fldChar w:fldCharType="separate"/>
      </w:r>
      <w:r>
        <w:rPr>
          <w:rFonts w:hint="eastAsia" w:ascii="黑体" w:hAnsi="黑体" w:eastAsia="黑体" w:cs="黑体"/>
          <w:sz w:val="21"/>
          <w:szCs w:val="21"/>
        </w:rPr>
        <w:t>30</w:t>
      </w:r>
      <w:r>
        <w:rPr>
          <w:rFonts w:hint="eastAsia" w:ascii="黑体" w:hAnsi="黑体" w:eastAsia="黑体" w:cs="黑体"/>
          <w:sz w:val="21"/>
          <w:szCs w:val="21"/>
        </w:rPr>
        <w:fldChar w:fldCharType="end"/>
      </w:r>
      <w:r>
        <w:rPr>
          <w:rFonts w:hint="eastAsia" w:ascii="黑体" w:hAnsi="黑体" w:eastAsia="黑体" w:cs="黑体"/>
          <w:sz w:val="21"/>
          <w:szCs w:val="21"/>
        </w:rPr>
        <w:fldChar w:fldCharType="end"/>
      </w:r>
    </w:p>
    <w:p w14:paraId="6C31B018">
      <w:pPr>
        <w:pStyle w:val="14"/>
        <w:keepNext w:val="0"/>
        <w:keepLines w:val="0"/>
        <w:pageBreakBefore w:val="0"/>
        <w:tabs>
          <w:tab w:val="right" w:leader="dot" w:pos="8306"/>
          <w:tab w:val="clear" w:pos="8296"/>
        </w:tabs>
        <w:kinsoku/>
        <w:wordWrap/>
        <w:overflowPunct/>
        <w:topLinePunct w:val="0"/>
        <w:autoSpaceDE/>
        <w:autoSpaceDN/>
        <w:bidi w:val="0"/>
        <w:adjustRightInd/>
        <w:snapToGrid/>
        <w:spacing w:line="380" w:lineRule="exact"/>
        <w:ind w:left="0" w:leftChars="0"/>
        <w:jc w:val="both"/>
        <w:textAlignment w:val="auto"/>
        <w:rPr>
          <w:rFonts w:hint="eastAsia" w:ascii="黑体" w:hAnsi="黑体" w:eastAsia="黑体" w:cs="黑体"/>
          <w:sz w:val="21"/>
          <w:szCs w:val="21"/>
        </w:rPr>
      </w:pPr>
      <w:r>
        <w:rPr>
          <w:rFonts w:hint="eastAsia" w:ascii="黑体" w:hAnsi="黑体" w:eastAsia="黑体" w:cs="黑体"/>
          <w:sz w:val="21"/>
          <w:szCs w:val="21"/>
        </w:rPr>
        <w:fldChar w:fldCharType="begin"/>
      </w:r>
      <w:r>
        <w:rPr>
          <w:rFonts w:hint="eastAsia" w:ascii="黑体" w:hAnsi="黑体" w:eastAsia="黑体" w:cs="黑体"/>
          <w:sz w:val="21"/>
          <w:szCs w:val="21"/>
        </w:rPr>
        <w:instrText xml:space="preserve"> HYPERLINK \l _Toc8207 </w:instrText>
      </w:r>
      <w:r>
        <w:rPr>
          <w:rFonts w:hint="eastAsia" w:ascii="黑体" w:hAnsi="黑体" w:eastAsia="黑体" w:cs="黑体"/>
          <w:sz w:val="21"/>
          <w:szCs w:val="21"/>
        </w:rPr>
        <w:fldChar w:fldCharType="separate"/>
      </w:r>
      <w:r>
        <w:rPr>
          <w:rFonts w:hint="eastAsia" w:ascii="黑体" w:hAnsi="黑体" w:eastAsia="黑体" w:cs="黑体"/>
          <w:bCs w:val="0"/>
          <w:sz w:val="21"/>
          <w:szCs w:val="21"/>
        </w:rPr>
        <w:t>十、政府性基金预算财政拨款收入支出决算表</w:t>
      </w:r>
      <w:r>
        <w:rPr>
          <w:rFonts w:hint="eastAsia" w:ascii="黑体" w:hAnsi="黑体" w:eastAsia="黑体" w:cs="黑体"/>
          <w:sz w:val="21"/>
          <w:szCs w:val="21"/>
        </w:rPr>
        <w:tab/>
      </w:r>
      <w:r>
        <w:rPr>
          <w:rFonts w:hint="eastAsia" w:ascii="黑体" w:hAnsi="黑体" w:eastAsia="黑体" w:cs="黑体"/>
          <w:sz w:val="21"/>
          <w:szCs w:val="21"/>
        </w:rPr>
        <w:fldChar w:fldCharType="begin"/>
      </w:r>
      <w:r>
        <w:rPr>
          <w:rFonts w:hint="eastAsia" w:ascii="黑体" w:hAnsi="黑体" w:eastAsia="黑体" w:cs="黑体"/>
          <w:sz w:val="21"/>
          <w:szCs w:val="21"/>
        </w:rPr>
        <w:instrText xml:space="preserve"> PAGEREF _Toc8207 \h </w:instrText>
      </w:r>
      <w:r>
        <w:rPr>
          <w:rFonts w:hint="eastAsia" w:ascii="黑体" w:hAnsi="黑体" w:eastAsia="黑体" w:cs="黑体"/>
          <w:sz w:val="21"/>
          <w:szCs w:val="21"/>
        </w:rPr>
        <w:fldChar w:fldCharType="separate"/>
      </w:r>
      <w:r>
        <w:rPr>
          <w:rFonts w:hint="eastAsia" w:ascii="黑体" w:hAnsi="黑体" w:eastAsia="黑体" w:cs="黑体"/>
          <w:sz w:val="21"/>
          <w:szCs w:val="21"/>
        </w:rPr>
        <w:t>30</w:t>
      </w:r>
      <w:r>
        <w:rPr>
          <w:rFonts w:hint="eastAsia" w:ascii="黑体" w:hAnsi="黑体" w:eastAsia="黑体" w:cs="黑体"/>
          <w:sz w:val="21"/>
          <w:szCs w:val="21"/>
        </w:rPr>
        <w:fldChar w:fldCharType="end"/>
      </w:r>
      <w:r>
        <w:rPr>
          <w:rFonts w:hint="eastAsia" w:ascii="黑体" w:hAnsi="黑体" w:eastAsia="黑体" w:cs="黑体"/>
          <w:sz w:val="21"/>
          <w:szCs w:val="21"/>
        </w:rPr>
        <w:fldChar w:fldCharType="end"/>
      </w:r>
    </w:p>
    <w:p w14:paraId="5F97428C">
      <w:pPr>
        <w:pStyle w:val="14"/>
        <w:keepNext w:val="0"/>
        <w:keepLines w:val="0"/>
        <w:pageBreakBefore w:val="0"/>
        <w:tabs>
          <w:tab w:val="right" w:leader="dot" w:pos="8306"/>
          <w:tab w:val="clear" w:pos="8296"/>
        </w:tabs>
        <w:kinsoku/>
        <w:wordWrap/>
        <w:overflowPunct/>
        <w:topLinePunct w:val="0"/>
        <w:autoSpaceDE/>
        <w:autoSpaceDN/>
        <w:bidi w:val="0"/>
        <w:adjustRightInd/>
        <w:snapToGrid/>
        <w:spacing w:line="380" w:lineRule="exact"/>
        <w:ind w:left="0" w:leftChars="0"/>
        <w:jc w:val="both"/>
        <w:textAlignment w:val="auto"/>
        <w:rPr>
          <w:rFonts w:hint="eastAsia" w:ascii="黑体" w:hAnsi="黑体" w:eastAsia="黑体" w:cs="黑体"/>
          <w:sz w:val="21"/>
          <w:szCs w:val="21"/>
        </w:rPr>
      </w:pPr>
      <w:r>
        <w:rPr>
          <w:rFonts w:hint="eastAsia" w:ascii="黑体" w:hAnsi="黑体" w:eastAsia="黑体" w:cs="黑体"/>
          <w:sz w:val="21"/>
          <w:szCs w:val="21"/>
        </w:rPr>
        <w:fldChar w:fldCharType="begin"/>
      </w:r>
      <w:r>
        <w:rPr>
          <w:rFonts w:hint="eastAsia" w:ascii="黑体" w:hAnsi="黑体" w:eastAsia="黑体" w:cs="黑体"/>
          <w:sz w:val="21"/>
          <w:szCs w:val="21"/>
        </w:rPr>
        <w:instrText xml:space="preserve"> HYPERLINK \l _Toc27292 </w:instrText>
      </w:r>
      <w:r>
        <w:rPr>
          <w:rFonts w:hint="eastAsia" w:ascii="黑体" w:hAnsi="黑体" w:eastAsia="黑体" w:cs="黑体"/>
          <w:sz w:val="21"/>
          <w:szCs w:val="21"/>
        </w:rPr>
        <w:fldChar w:fldCharType="separate"/>
      </w:r>
      <w:r>
        <w:rPr>
          <w:rFonts w:hint="eastAsia" w:ascii="黑体" w:hAnsi="黑体" w:eastAsia="黑体" w:cs="黑体"/>
          <w:bCs w:val="0"/>
          <w:sz w:val="21"/>
          <w:szCs w:val="21"/>
        </w:rPr>
        <w:t>十一、国有资本经营预算</w:t>
      </w:r>
      <w:r>
        <w:rPr>
          <w:rFonts w:hint="eastAsia" w:ascii="黑体" w:hAnsi="黑体" w:eastAsia="黑体" w:cs="黑体"/>
          <w:bCs w:val="0"/>
          <w:sz w:val="21"/>
          <w:szCs w:val="21"/>
          <w:lang w:eastAsia="zh-CN"/>
        </w:rPr>
        <w:t>财政拨款收入</w:t>
      </w:r>
      <w:r>
        <w:rPr>
          <w:rFonts w:hint="eastAsia" w:ascii="黑体" w:hAnsi="黑体" w:eastAsia="黑体" w:cs="黑体"/>
          <w:bCs w:val="0"/>
          <w:sz w:val="21"/>
          <w:szCs w:val="21"/>
        </w:rPr>
        <w:t>支出决算表</w:t>
      </w:r>
      <w:r>
        <w:rPr>
          <w:rFonts w:hint="eastAsia" w:ascii="黑体" w:hAnsi="黑体" w:eastAsia="黑体" w:cs="黑体"/>
          <w:sz w:val="21"/>
          <w:szCs w:val="21"/>
        </w:rPr>
        <w:tab/>
      </w:r>
      <w:r>
        <w:rPr>
          <w:rFonts w:hint="eastAsia" w:ascii="黑体" w:hAnsi="黑体" w:eastAsia="黑体" w:cs="黑体"/>
          <w:sz w:val="21"/>
          <w:szCs w:val="21"/>
        </w:rPr>
        <w:fldChar w:fldCharType="begin"/>
      </w:r>
      <w:r>
        <w:rPr>
          <w:rFonts w:hint="eastAsia" w:ascii="黑体" w:hAnsi="黑体" w:eastAsia="黑体" w:cs="黑体"/>
          <w:sz w:val="21"/>
          <w:szCs w:val="21"/>
        </w:rPr>
        <w:instrText xml:space="preserve"> PAGEREF _Toc27292 \h </w:instrText>
      </w:r>
      <w:r>
        <w:rPr>
          <w:rFonts w:hint="eastAsia" w:ascii="黑体" w:hAnsi="黑体" w:eastAsia="黑体" w:cs="黑体"/>
          <w:sz w:val="21"/>
          <w:szCs w:val="21"/>
        </w:rPr>
        <w:fldChar w:fldCharType="separate"/>
      </w:r>
      <w:r>
        <w:rPr>
          <w:rFonts w:hint="eastAsia" w:ascii="黑体" w:hAnsi="黑体" w:eastAsia="黑体" w:cs="黑体"/>
          <w:sz w:val="21"/>
          <w:szCs w:val="21"/>
        </w:rPr>
        <w:t>30</w:t>
      </w:r>
      <w:r>
        <w:rPr>
          <w:rFonts w:hint="eastAsia" w:ascii="黑体" w:hAnsi="黑体" w:eastAsia="黑体" w:cs="黑体"/>
          <w:sz w:val="21"/>
          <w:szCs w:val="21"/>
        </w:rPr>
        <w:fldChar w:fldCharType="end"/>
      </w:r>
      <w:r>
        <w:rPr>
          <w:rFonts w:hint="eastAsia" w:ascii="黑体" w:hAnsi="黑体" w:eastAsia="黑体" w:cs="黑体"/>
          <w:sz w:val="21"/>
          <w:szCs w:val="21"/>
        </w:rPr>
        <w:fldChar w:fldCharType="end"/>
      </w:r>
    </w:p>
    <w:p w14:paraId="73C768DB">
      <w:pPr>
        <w:pStyle w:val="14"/>
        <w:keepNext w:val="0"/>
        <w:keepLines w:val="0"/>
        <w:pageBreakBefore w:val="0"/>
        <w:tabs>
          <w:tab w:val="right" w:leader="dot" w:pos="8306"/>
          <w:tab w:val="clear" w:pos="8296"/>
        </w:tabs>
        <w:kinsoku/>
        <w:wordWrap/>
        <w:overflowPunct/>
        <w:topLinePunct w:val="0"/>
        <w:autoSpaceDE/>
        <w:autoSpaceDN/>
        <w:bidi w:val="0"/>
        <w:adjustRightInd/>
        <w:snapToGrid/>
        <w:spacing w:line="380" w:lineRule="exact"/>
        <w:ind w:left="0" w:leftChars="0"/>
        <w:jc w:val="both"/>
        <w:textAlignment w:val="auto"/>
        <w:rPr>
          <w:rFonts w:hint="eastAsia" w:ascii="黑体" w:hAnsi="黑体" w:eastAsia="黑体" w:cs="黑体"/>
          <w:sz w:val="21"/>
          <w:szCs w:val="21"/>
        </w:rPr>
      </w:pPr>
      <w:r>
        <w:rPr>
          <w:rFonts w:hint="eastAsia" w:ascii="黑体" w:hAnsi="黑体" w:eastAsia="黑体" w:cs="黑体"/>
          <w:sz w:val="21"/>
          <w:szCs w:val="21"/>
        </w:rPr>
        <w:fldChar w:fldCharType="begin"/>
      </w:r>
      <w:r>
        <w:rPr>
          <w:rFonts w:hint="eastAsia" w:ascii="黑体" w:hAnsi="黑体" w:eastAsia="黑体" w:cs="黑体"/>
          <w:sz w:val="21"/>
          <w:szCs w:val="21"/>
        </w:rPr>
        <w:instrText xml:space="preserve"> HYPERLINK \l _Toc14519 </w:instrText>
      </w:r>
      <w:r>
        <w:rPr>
          <w:rFonts w:hint="eastAsia" w:ascii="黑体" w:hAnsi="黑体" w:eastAsia="黑体" w:cs="黑体"/>
          <w:sz w:val="21"/>
          <w:szCs w:val="21"/>
        </w:rPr>
        <w:fldChar w:fldCharType="separate"/>
      </w:r>
      <w:r>
        <w:rPr>
          <w:rFonts w:hint="eastAsia" w:ascii="黑体" w:hAnsi="黑体" w:eastAsia="黑体" w:cs="黑体"/>
          <w:bCs w:val="0"/>
          <w:sz w:val="21"/>
          <w:szCs w:val="21"/>
        </w:rPr>
        <w:t>十二、</w:t>
      </w:r>
      <w:r>
        <w:rPr>
          <w:rFonts w:hint="eastAsia" w:ascii="黑体" w:hAnsi="黑体" w:eastAsia="黑体" w:cs="黑体"/>
          <w:bCs w:val="0"/>
          <w:sz w:val="21"/>
          <w:szCs w:val="21"/>
          <w:lang w:eastAsia="zh-CN"/>
        </w:rPr>
        <w:t>国有资本经营预算财政拨款支出决算表</w:t>
      </w:r>
      <w:r>
        <w:rPr>
          <w:rFonts w:hint="eastAsia" w:ascii="黑体" w:hAnsi="黑体" w:eastAsia="黑体" w:cs="黑体"/>
          <w:sz w:val="21"/>
          <w:szCs w:val="21"/>
        </w:rPr>
        <w:tab/>
      </w:r>
      <w:r>
        <w:rPr>
          <w:rFonts w:hint="eastAsia" w:ascii="黑体" w:hAnsi="黑体" w:eastAsia="黑体" w:cs="黑体"/>
          <w:sz w:val="21"/>
          <w:szCs w:val="21"/>
        </w:rPr>
        <w:fldChar w:fldCharType="begin"/>
      </w:r>
      <w:r>
        <w:rPr>
          <w:rFonts w:hint="eastAsia" w:ascii="黑体" w:hAnsi="黑体" w:eastAsia="黑体" w:cs="黑体"/>
          <w:sz w:val="21"/>
          <w:szCs w:val="21"/>
        </w:rPr>
        <w:instrText xml:space="preserve"> PAGEREF _Toc14519 \h </w:instrText>
      </w:r>
      <w:r>
        <w:rPr>
          <w:rFonts w:hint="eastAsia" w:ascii="黑体" w:hAnsi="黑体" w:eastAsia="黑体" w:cs="黑体"/>
          <w:sz w:val="21"/>
          <w:szCs w:val="21"/>
        </w:rPr>
        <w:fldChar w:fldCharType="separate"/>
      </w:r>
      <w:r>
        <w:rPr>
          <w:rFonts w:hint="eastAsia" w:ascii="黑体" w:hAnsi="黑体" w:eastAsia="黑体" w:cs="黑体"/>
          <w:sz w:val="21"/>
          <w:szCs w:val="21"/>
        </w:rPr>
        <w:t>30</w:t>
      </w:r>
      <w:r>
        <w:rPr>
          <w:rFonts w:hint="eastAsia" w:ascii="黑体" w:hAnsi="黑体" w:eastAsia="黑体" w:cs="黑体"/>
          <w:sz w:val="21"/>
          <w:szCs w:val="21"/>
        </w:rPr>
        <w:fldChar w:fldCharType="end"/>
      </w:r>
      <w:r>
        <w:rPr>
          <w:rFonts w:hint="eastAsia" w:ascii="黑体" w:hAnsi="黑体" w:eastAsia="黑体" w:cs="黑体"/>
          <w:sz w:val="21"/>
          <w:szCs w:val="21"/>
        </w:rPr>
        <w:fldChar w:fldCharType="end"/>
      </w:r>
    </w:p>
    <w:p w14:paraId="276D8B71">
      <w:pPr>
        <w:pStyle w:val="14"/>
        <w:keepNext w:val="0"/>
        <w:keepLines w:val="0"/>
        <w:pageBreakBefore w:val="0"/>
        <w:tabs>
          <w:tab w:val="right" w:leader="dot" w:pos="8306"/>
          <w:tab w:val="clear" w:pos="8296"/>
        </w:tabs>
        <w:kinsoku/>
        <w:wordWrap/>
        <w:overflowPunct/>
        <w:topLinePunct w:val="0"/>
        <w:autoSpaceDE/>
        <w:autoSpaceDN/>
        <w:bidi w:val="0"/>
        <w:adjustRightInd/>
        <w:snapToGrid/>
        <w:spacing w:line="380" w:lineRule="exact"/>
        <w:ind w:left="0" w:leftChars="0"/>
        <w:jc w:val="both"/>
        <w:textAlignment w:val="auto"/>
      </w:pPr>
      <w:r>
        <w:rPr>
          <w:rFonts w:hint="eastAsia" w:ascii="黑体" w:hAnsi="黑体" w:eastAsia="黑体" w:cs="黑体"/>
          <w:sz w:val="21"/>
          <w:szCs w:val="21"/>
        </w:rPr>
        <w:fldChar w:fldCharType="begin"/>
      </w:r>
      <w:r>
        <w:rPr>
          <w:rFonts w:hint="eastAsia" w:ascii="黑体" w:hAnsi="黑体" w:eastAsia="黑体" w:cs="黑体"/>
          <w:sz w:val="21"/>
          <w:szCs w:val="21"/>
        </w:rPr>
        <w:instrText xml:space="preserve"> HYPERLINK \l _Toc18388 </w:instrText>
      </w:r>
      <w:r>
        <w:rPr>
          <w:rFonts w:hint="eastAsia" w:ascii="黑体" w:hAnsi="黑体" w:eastAsia="黑体" w:cs="黑体"/>
          <w:sz w:val="21"/>
          <w:szCs w:val="21"/>
        </w:rPr>
        <w:fldChar w:fldCharType="separate"/>
      </w:r>
      <w:r>
        <w:rPr>
          <w:rFonts w:hint="eastAsia" w:ascii="黑体" w:hAnsi="黑体" w:eastAsia="黑体" w:cs="黑体"/>
          <w:bCs w:val="0"/>
          <w:sz w:val="21"/>
          <w:szCs w:val="21"/>
        </w:rPr>
        <w:t>十三、</w:t>
      </w:r>
      <w:r>
        <w:rPr>
          <w:rFonts w:hint="eastAsia" w:ascii="黑体" w:hAnsi="黑体" w:eastAsia="黑体" w:cs="黑体"/>
          <w:bCs w:val="0"/>
          <w:sz w:val="21"/>
          <w:szCs w:val="21"/>
          <w:lang w:eastAsia="zh-CN"/>
        </w:rPr>
        <w:t>财政拨款“三公”经费支出决算表</w:t>
      </w:r>
      <w:r>
        <w:rPr>
          <w:rFonts w:hint="eastAsia" w:ascii="黑体" w:hAnsi="黑体" w:eastAsia="黑体" w:cs="黑体"/>
          <w:sz w:val="21"/>
          <w:szCs w:val="21"/>
        </w:rPr>
        <w:tab/>
      </w:r>
      <w:r>
        <w:rPr>
          <w:rFonts w:hint="eastAsia" w:ascii="黑体" w:hAnsi="黑体" w:eastAsia="黑体" w:cs="黑体"/>
          <w:sz w:val="21"/>
          <w:szCs w:val="21"/>
        </w:rPr>
        <w:fldChar w:fldCharType="begin"/>
      </w:r>
      <w:r>
        <w:rPr>
          <w:rFonts w:hint="eastAsia" w:ascii="黑体" w:hAnsi="黑体" w:eastAsia="黑体" w:cs="黑体"/>
          <w:sz w:val="21"/>
          <w:szCs w:val="21"/>
        </w:rPr>
        <w:instrText xml:space="preserve"> PAGEREF _Toc18388 \h </w:instrText>
      </w:r>
      <w:r>
        <w:rPr>
          <w:rFonts w:hint="eastAsia" w:ascii="黑体" w:hAnsi="黑体" w:eastAsia="黑体" w:cs="黑体"/>
          <w:sz w:val="21"/>
          <w:szCs w:val="21"/>
        </w:rPr>
        <w:fldChar w:fldCharType="separate"/>
      </w:r>
      <w:r>
        <w:rPr>
          <w:rFonts w:hint="eastAsia" w:ascii="黑体" w:hAnsi="黑体" w:eastAsia="黑体" w:cs="黑体"/>
          <w:sz w:val="21"/>
          <w:szCs w:val="21"/>
        </w:rPr>
        <w:t>30</w:t>
      </w:r>
      <w:r>
        <w:rPr>
          <w:rFonts w:hint="eastAsia" w:ascii="黑体" w:hAnsi="黑体" w:eastAsia="黑体" w:cs="黑体"/>
          <w:sz w:val="21"/>
          <w:szCs w:val="21"/>
        </w:rPr>
        <w:fldChar w:fldCharType="end"/>
      </w:r>
      <w:r>
        <w:rPr>
          <w:rFonts w:hint="eastAsia" w:ascii="黑体" w:hAnsi="黑体" w:eastAsia="黑体" w:cs="黑体"/>
          <w:sz w:val="21"/>
          <w:szCs w:val="21"/>
        </w:rPr>
        <w:fldChar w:fldCharType="end"/>
      </w:r>
    </w:p>
    <w:p w14:paraId="33A2ACAA">
      <w:pPr>
        <w:keepNext w:val="0"/>
        <w:keepLines w:val="0"/>
        <w:pageBreakBefore w:val="0"/>
        <w:kinsoku/>
        <w:wordWrap/>
        <w:overflowPunct/>
        <w:topLinePunct w:val="0"/>
        <w:autoSpaceDE/>
        <w:autoSpaceDN/>
        <w:bidi w:val="0"/>
        <w:adjustRightInd/>
        <w:snapToGrid/>
        <w:spacing w:before="0" w:line="380" w:lineRule="exact"/>
        <w:ind w:left="0" w:leftChars="0"/>
        <w:jc w:val="both"/>
        <w:textAlignment w:val="auto"/>
      </w:pPr>
      <w:r>
        <w:fldChar w:fldCharType="end"/>
      </w:r>
    </w:p>
    <w:p w14:paraId="1FE77206">
      <w:pPr>
        <w:pStyle w:val="14"/>
        <w:keepNext w:val="0"/>
        <w:keepLines w:val="0"/>
        <w:pageBreakBefore w:val="0"/>
        <w:widowControl w:val="0"/>
        <w:kinsoku/>
        <w:wordWrap/>
        <w:overflowPunct/>
        <w:topLinePunct w:val="0"/>
        <w:autoSpaceDE/>
        <w:autoSpaceDN/>
        <w:bidi w:val="0"/>
        <w:adjustRightInd w:val="0"/>
        <w:snapToGrid w:val="0"/>
        <w:spacing w:line="380" w:lineRule="exact"/>
        <w:ind w:left="0" w:leftChars="0" w:firstLine="0" w:firstLineChars="0"/>
        <w:jc w:val="left"/>
        <w:textAlignment w:val="auto"/>
        <w:rPr>
          <w:rFonts w:hint="eastAsia" w:ascii="Times New Roman" w:hAnsi="Times New Roman" w:eastAsia="仿宋_GB2312" w:cs="仿宋_GB2312"/>
          <w:b/>
          <w:bCs/>
          <w:color w:val="auto"/>
          <w:sz w:val="32"/>
          <w:szCs w:val="32"/>
          <w:highlight w:val="none"/>
          <w:lang w:eastAsia="zh-CN"/>
        </w:rPr>
      </w:pPr>
      <w:r>
        <w:rPr>
          <w:rFonts w:hint="eastAsia" w:ascii="Times New Roman" w:hAnsi="Times New Roman" w:eastAsia="仿宋_GB2312" w:cs="仿宋_GB2312"/>
          <w:b/>
          <w:bCs/>
          <w:color w:val="auto"/>
          <w:sz w:val="32"/>
          <w:szCs w:val="32"/>
          <w:highlight w:val="none"/>
          <w:lang w:eastAsia="zh-CN"/>
        </w:rPr>
        <w:t>（</w:t>
      </w:r>
      <w:r>
        <w:rPr>
          <w:rFonts w:hint="eastAsia" w:ascii="Times New Roman" w:hAnsi="Times New Roman" w:eastAsia="仿宋_GB2312" w:cs="仿宋_GB2312"/>
          <w:b/>
          <w:bCs/>
          <w:color w:val="auto"/>
          <w:sz w:val="32"/>
          <w:szCs w:val="32"/>
          <w:highlight w:val="none"/>
        </w:rPr>
        <w:t>注：请部门根据实际注明页码</w:t>
      </w:r>
      <w:r>
        <w:rPr>
          <w:rFonts w:hint="eastAsia" w:ascii="Times New Roman" w:hAnsi="Times New Roman" w:eastAsia="仿宋_GB2312" w:cs="仿宋_GB2312"/>
          <w:b/>
          <w:bCs/>
          <w:color w:val="auto"/>
          <w:sz w:val="32"/>
          <w:szCs w:val="32"/>
          <w:highlight w:val="none"/>
          <w:lang w:eastAsia="zh-CN"/>
        </w:rPr>
        <w:t>）</w:t>
      </w:r>
    </w:p>
    <w:p w14:paraId="370323F7">
      <w:pPr>
        <w:pStyle w:val="2"/>
        <w:pageBreakBefore w:val="0"/>
        <w:kinsoku/>
        <w:wordWrap/>
        <w:overflowPunct/>
        <w:topLinePunct w:val="0"/>
        <w:autoSpaceDE/>
        <w:autoSpaceDN/>
        <w:bidi w:val="0"/>
        <w:spacing w:line="380" w:lineRule="exact"/>
        <w:jc w:val="center"/>
        <w:textAlignment w:val="auto"/>
        <w:rPr>
          <w:rFonts w:hint="eastAsia" w:ascii="Times New Roman" w:hAnsi="Times New Roman" w:eastAsia="方正小标宋简体" w:cs="方正小标宋简体"/>
          <w:b w:val="0"/>
          <w:color w:val="auto"/>
          <w:highlight w:val="none"/>
        </w:rPr>
        <w:sectPr>
          <w:footerReference r:id="rId5" w:type="first"/>
          <w:headerReference r:id="rId3" w:type="default"/>
          <w:footerReference r:id="rId4" w:type="default"/>
          <w:pgSz w:w="11906" w:h="16838"/>
          <w:pgMar w:top="1440" w:right="1800" w:bottom="1440" w:left="1800" w:header="851" w:footer="992" w:gutter="0"/>
          <w:pgNumType w:fmt="numberInDash" w:start="1"/>
          <w:cols w:space="425" w:num="1"/>
          <w:docGrid w:type="lines" w:linePitch="312" w:charSpace="0"/>
        </w:sectPr>
      </w:pPr>
      <w:bookmarkStart w:id="7" w:name="_Toc15377196"/>
      <w:bookmarkStart w:id="8" w:name="_Toc15396599"/>
    </w:p>
    <w:p w14:paraId="0CEF031D">
      <w:pPr>
        <w:pStyle w:val="2"/>
        <w:jc w:val="center"/>
        <w:rPr>
          <w:rFonts w:ascii="Times New Roman" w:hAnsi="Times New Roman" w:eastAsia="黑体"/>
          <w:color w:val="auto"/>
          <w:sz w:val="32"/>
          <w:szCs w:val="32"/>
          <w:highlight w:val="none"/>
        </w:rPr>
      </w:pPr>
      <w:bookmarkStart w:id="9" w:name="_Toc32105"/>
      <w:r>
        <w:rPr>
          <w:rFonts w:hint="eastAsia" w:ascii="Times New Roman" w:hAnsi="Times New Roman" w:eastAsia="方正小标宋简体" w:cs="方正小标宋简体"/>
          <w:b w:val="0"/>
          <w:color w:val="auto"/>
          <w:highlight w:val="none"/>
        </w:rPr>
        <w:t>第一部分</w:t>
      </w:r>
      <w:r>
        <w:rPr>
          <w:rFonts w:hint="eastAsia" w:ascii="Times New Roman" w:hAnsi="Times New Roman" w:eastAsia="方正小标宋简体" w:cs="方正小标宋简体"/>
          <w:b w:val="0"/>
          <w:color w:val="auto"/>
          <w:highlight w:val="none"/>
          <w:lang w:val="en-US" w:eastAsia="zh-CN"/>
        </w:rPr>
        <w:t xml:space="preserve"> </w:t>
      </w:r>
      <w:r>
        <w:rPr>
          <w:rFonts w:hint="eastAsia" w:ascii="Times New Roman" w:hAnsi="Times New Roman" w:eastAsia="方正小标宋简体" w:cs="方正小标宋简体"/>
          <w:b w:val="0"/>
          <w:color w:val="auto"/>
          <w:highlight w:val="none"/>
        </w:rPr>
        <w:t xml:space="preserve"> </w:t>
      </w:r>
      <w:r>
        <w:rPr>
          <w:rStyle w:val="29"/>
          <w:rFonts w:hint="eastAsia" w:ascii="Times New Roman" w:hAnsi="Times New Roman" w:eastAsia="方正小标宋简体" w:cs="方正小标宋简体"/>
          <w:b w:val="0"/>
          <w:bCs w:val="0"/>
          <w:color w:val="auto"/>
          <w:highlight w:val="none"/>
        </w:rPr>
        <w:t>部门概况</w:t>
      </w:r>
      <w:bookmarkEnd w:id="7"/>
      <w:bookmarkEnd w:id="8"/>
      <w:bookmarkEnd w:id="9"/>
    </w:p>
    <w:p w14:paraId="4D855AA5">
      <w:pPr>
        <w:pStyle w:val="3"/>
        <w:pageBreakBefore w:val="0"/>
        <w:numPr>
          <w:ilvl w:val="0"/>
          <w:numId w:val="1"/>
        </w:numPr>
        <w:kinsoku/>
        <w:wordWrap/>
        <w:overflowPunct/>
        <w:topLinePunct w:val="0"/>
        <w:autoSpaceDE/>
        <w:autoSpaceDN/>
        <w:bidi w:val="0"/>
        <w:spacing w:before="0" w:after="0" w:line="560" w:lineRule="exact"/>
        <w:ind w:left="0" w:firstLine="640" w:firstLineChars="200"/>
        <w:jc w:val="both"/>
        <w:textAlignment w:val="auto"/>
        <w:rPr>
          <w:rFonts w:hint="eastAsia" w:ascii="Times New Roman" w:hAnsi="Times New Roman" w:eastAsia="黑体"/>
          <w:b w:val="0"/>
          <w:color w:val="auto"/>
          <w:highlight w:val="none"/>
          <w:lang w:eastAsia="zh-CN"/>
        </w:rPr>
      </w:pPr>
      <w:bookmarkStart w:id="10" w:name="_Toc956"/>
      <w:r>
        <w:rPr>
          <w:rFonts w:hint="eastAsia" w:ascii="Times New Roman" w:hAnsi="Times New Roman" w:eastAsia="黑体"/>
          <w:b w:val="0"/>
          <w:color w:val="auto"/>
          <w:highlight w:val="none"/>
          <w:lang w:eastAsia="zh-CN"/>
        </w:rPr>
        <w:t>部门职责</w:t>
      </w:r>
      <w:bookmarkEnd w:id="10"/>
    </w:p>
    <w:p w14:paraId="6FEB5964">
      <w:pPr>
        <w:pStyle w:val="15"/>
        <w:keepNext w:val="0"/>
        <w:keepLines w:val="0"/>
        <w:pageBreakBefore w:val="0"/>
        <w:kinsoku/>
        <w:wordWrap/>
        <w:overflowPunct/>
        <w:topLinePunct w:val="0"/>
        <w:autoSpaceDE/>
        <w:autoSpaceDN/>
        <w:bidi w:val="0"/>
        <w:adjustRightInd w:val="0"/>
        <w:snapToGrid w:val="0"/>
        <w:spacing w:before="0" w:beforeAutospacing="0" w:after="0" w:afterAutospacing="0" w:line="560" w:lineRule="exact"/>
        <w:ind w:left="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1.拟订文化、体育、旅游、广播电视、文物保护相关的政策措施和规范性文件并组织实施，负责本部门依法行政工作。</w:t>
      </w:r>
    </w:p>
    <w:p w14:paraId="571CD925">
      <w:pPr>
        <w:pStyle w:val="15"/>
        <w:keepNext w:val="0"/>
        <w:keepLines w:val="0"/>
        <w:pageBreakBefore w:val="0"/>
        <w:kinsoku/>
        <w:wordWrap/>
        <w:overflowPunct/>
        <w:topLinePunct w:val="0"/>
        <w:autoSpaceDE/>
        <w:autoSpaceDN/>
        <w:bidi w:val="0"/>
        <w:adjustRightInd w:val="0"/>
        <w:snapToGrid w:val="0"/>
        <w:spacing w:before="0" w:beforeAutospacing="0" w:after="0" w:afterAutospacing="0" w:line="560" w:lineRule="exact"/>
        <w:ind w:left="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2.组织推动全区文化体育事业、文化体育产业、旅游业、广播电视、文物保护业发展，拟订发展规划并组织实施，推进文化体育和旅游、广播电视体制机制改革，推进文化和旅游融合发展。</w:t>
      </w:r>
    </w:p>
    <w:p w14:paraId="1E4BF2A7">
      <w:pPr>
        <w:pStyle w:val="15"/>
        <w:keepNext w:val="0"/>
        <w:keepLines w:val="0"/>
        <w:pageBreakBefore w:val="0"/>
        <w:kinsoku/>
        <w:wordWrap/>
        <w:overflowPunct/>
        <w:topLinePunct w:val="0"/>
        <w:autoSpaceDE/>
        <w:autoSpaceDN/>
        <w:bidi w:val="0"/>
        <w:adjustRightInd w:val="0"/>
        <w:snapToGrid w:val="0"/>
        <w:spacing w:before="0" w:beforeAutospacing="0" w:after="0" w:afterAutospacing="0" w:line="560" w:lineRule="exact"/>
        <w:ind w:left="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3.管理全区重大文化、体育、旅游、广播电视活动，指导全区重点文化、体育、旅游、广播电视、文物设施建设，组织全区文化体育和旅游整体形象推广，制定旅游市场开发战略并组织实施，推进全域旅游。</w:t>
      </w:r>
    </w:p>
    <w:p w14:paraId="6237EA61">
      <w:pPr>
        <w:pStyle w:val="15"/>
        <w:keepNext w:val="0"/>
        <w:keepLines w:val="0"/>
        <w:pageBreakBefore w:val="0"/>
        <w:kinsoku/>
        <w:wordWrap/>
        <w:overflowPunct/>
        <w:topLinePunct w:val="0"/>
        <w:autoSpaceDE/>
        <w:autoSpaceDN/>
        <w:bidi w:val="0"/>
        <w:adjustRightInd w:val="0"/>
        <w:snapToGrid w:val="0"/>
        <w:spacing w:before="0" w:beforeAutospacing="0" w:after="0" w:afterAutospacing="0" w:line="560" w:lineRule="exact"/>
        <w:ind w:left="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4.指导管理文艺事业，推动艺术创作生产，扶持体现社会主义核心价值观、具有导向性代表性示范性的文艺作品，推动各门类艺术、各艺术品种发展，推动中华优秀传统文化和地方特色文化传承发展。</w:t>
      </w:r>
    </w:p>
    <w:p w14:paraId="75EAA693">
      <w:pPr>
        <w:pStyle w:val="15"/>
        <w:keepNext w:val="0"/>
        <w:keepLines w:val="0"/>
        <w:pageBreakBefore w:val="0"/>
        <w:kinsoku/>
        <w:wordWrap/>
        <w:overflowPunct/>
        <w:topLinePunct w:val="0"/>
        <w:autoSpaceDE/>
        <w:autoSpaceDN/>
        <w:bidi w:val="0"/>
        <w:adjustRightInd w:val="0"/>
        <w:snapToGrid w:val="0"/>
        <w:spacing w:before="0" w:beforeAutospacing="0" w:after="0" w:afterAutospacing="0" w:line="560" w:lineRule="exact"/>
        <w:ind w:left="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5.负责公共文化事业发展，推进全区公共文化服务体系建设和旅游公共服务建设，深入实施文化体育广播电视旅游惠民工程，统筹推进基本公共文化服务标准化、均等化。</w:t>
      </w:r>
    </w:p>
    <w:p w14:paraId="336110B4">
      <w:pPr>
        <w:pStyle w:val="15"/>
        <w:keepNext w:val="0"/>
        <w:keepLines w:val="0"/>
        <w:pageBreakBefore w:val="0"/>
        <w:kinsoku/>
        <w:wordWrap/>
        <w:overflowPunct/>
        <w:topLinePunct w:val="0"/>
        <w:autoSpaceDE/>
        <w:autoSpaceDN/>
        <w:bidi w:val="0"/>
        <w:adjustRightInd w:val="0"/>
        <w:snapToGrid w:val="0"/>
        <w:spacing w:before="0" w:beforeAutospacing="0" w:after="0" w:afterAutospacing="0" w:line="560" w:lineRule="exact"/>
        <w:ind w:left="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6.推进文化体育和科技创新发展，推进文化体育和旅游行业信息化、标准化建设。</w:t>
      </w:r>
    </w:p>
    <w:p w14:paraId="454EAF16">
      <w:pPr>
        <w:pStyle w:val="15"/>
        <w:keepNext w:val="0"/>
        <w:keepLines w:val="0"/>
        <w:pageBreakBefore w:val="0"/>
        <w:kinsoku/>
        <w:wordWrap/>
        <w:overflowPunct/>
        <w:topLinePunct w:val="0"/>
        <w:autoSpaceDE/>
        <w:autoSpaceDN/>
        <w:bidi w:val="0"/>
        <w:adjustRightInd w:val="0"/>
        <w:snapToGrid w:val="0"/>
        <w:spacing w:before="0" w:beforeAutospacing="0" w:after="0" w:afterAutospacing="0" w:line="560" w:lineRule="exact"/>
        <w:ind w:left="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7.负责非物质文化遗产保护，推动非物质文化遗产的保护、传承、普及、弘扬和振兴。</w:t>
      </w:r>
    </w:p>
    <w:p w14:paraId="3E524327">
      <w:pPr>
        <w:pStyle w:val="15"/>
        <w:keepNext w:val="0"/>
        <w:keepLines w:val="0"/>
        <w:pageBreakBefore w:val="0"/>
        <w:kinsoku/>
        <w:wordWrap/>
        <w:overflowPunct/>
        <w:topLinePunct w:val="0"/>
        <w:autoSpaceDE/>
        <w:autoSpaceDN/>
        <w:bidi w:val="0"/>
        <w:adjustRightInd w:val="0"/>
        <w:snapToGrid w:val="0"/>
        <w:spacing w:before="0" w:beforeAutospacing="0" w:after="0" w:afterAutospacing="0" w:line="560" w:lineRule="exact"/>
        <w:ind w:left="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8.组织实施文化和旅游资源普查、挖掘、保护与利用工作，培育和管理体育市场，促进文化体育和旅游产业发展。</w:t>
      </w:r>
    </w:p>
    <w:p w14:paraId="6830F808">
      <w:pPr>
        <w:pStyle w:val="15"/>
        <w:keepNext w:val="0"/>
        <w:keepLines w:val="0"/>
        <w:pageBreakBefore w:val="0"/>
        <w:kinsoku/>
        <w:wordWrap/>
        <w:overflowPunct/>
        <w:topLinePunct w:val="0"/>
        <w:autoSpaceDE/>
        <w:autoSpaceDN/>
        <w:bidi w:val="0"/>
        <w:adjustRightInd w:val="0"/>
        <w:snapToGrid w:val="0"/>
        <w:spacing w:before="0" w:beforeAutospacing="0" w:after="0" w:afterAutospacing="0" w:line="560" w:lineRule="exact"/>
        <w:ind w:left="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9.指导文化体育和旅游、广播电视市场发展，对市场经营进行行业监管，维护市场秩序，推进文化旅游和广播电视行业信用体系建设，依法规范文化体育旅游和广播电视市场；规范体育服务管理，推动体育标准化建设，协调、指导全区体育彩票销售工作。</w:t>
      </w:r>
    </w:p>
    <w:p w14:paraId="4114D356">
      <w:pPr>
        <w:pStyle w:val="15"/>
        <w:keepNext w:val="0"/>
        <w:keepLines w:val="0"/>
        <w:pageBreakBefore w:val="0"/>
        <w:kinsoku/>
        <w:wordWrap/>
        <w:overflowPunct/>
        <w:topLinePunct w:val="0"/>
        <w:autoSpaceDE/>
        <w:autoSpaceDN/>
        <w:bidi w:val="0"/>
        <w:adjustRightInd w:val="0"/>
        <w:snapToGrid w:val="0"/>
        <w:spacing w:before="0" w:beforeAutospacing="0" w:after="0" w:afterAutospacing="0" w:line="560" w:lineRule="exact"/>
        <w:ind w:left="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10.负责管理文化、体育、旅游、广播电视和文物对外交流合作与宣传推广工作；组织大型文化、体育、旅游、广播电视、文物对外交流活动。</w:t>
      </w:r>
    </w:p>
    <w:p w14:paraId="13164669">
      <w:pPr>
        <w:pStyle w:val="15"/>
        <w:keepNext w:val="0"/>
        <w:keepLines w:val="0"/>
        <w:pageBreakBefore w:val="0"/>
        <w:kinsoku/>
        <w:wordWrap/>
        <w:overflowPunct/>
        <w:topLinePunct w:val="0"/>
        <w:autoSpaceDE/>
        <w:autoSpaceDN/>
        <w:bidi w:val="0"/>
        <w:adjustRightInd w:val="0"/>
        <w:snapToGrid w:val="0"/>
        <w:spacing w:before="0" w:beforeAutospacing="0" w:after="0" w:afterAutospacing="0" w:line="560" w:lineRule="exact"/>
        <w:ind w:left="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11.统筹规划全区群众体育发展，负责推行全民健身计划，监督实施国家体育锻炼标准，推动全区国民体质监测和社会体育指导工作队伍制度建设，指导公共体育设施的建设，负责对公共体育设施的监督管理；指导全区体育场馆规划建设、维修改造及开发工作；规范体育服务管理，推动体育标准化建设。</w:t>
      </w:r>
    </w:p>
    <w:p w14:paraId="0D94B37C">
      <w:pPr>
        <w:pStyle w:val="15"/>
        <w:keepNext w:val="0"/>
        <w:keepLines w:val="0"/>
        <w:pageBreakBefore w:val="0"/>
        <w:kinsoku/>
        <w:wordWrap/>
        <w:overflowPunct/>
        <w:topLinePunct w:val="0"/>
        <w:autoSpaceDE/>
        <w:autoSpaceDN/>
        <w:bidi w:val="0"/>
        <w:adjustRightInd w:val="0"/>
        <w:snapToGrid w:val="0"/>
        <w:spacing w:before="0" w:beforeAutospacing="0" w:after="0" w:afterAutospacing="0" w:line="560" w:lineRule="exact"/>
        <w:ind w:left="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12.统筹规划全区竞技体育发展，指导体育训练、体育竞赛和运动员队伍建设，负责组织协调各级综合性运动会的竞赛工作，协调运动员社会保障工作。</w:t>
      </w:r>
    </w:p>
    <w:p w14:paraId="23D7F07B">
      <w:pPr>
        <w:pStyle w:val="15"/>
        <w:keepNext w:val="0"/>
        <w:keepLines w:val="0"/>
        <w:pageBreakBefore w:val="0"/>
        <w:kinsoku/>
        <w:wordWrap/>
        <w:overflowPunct/>
        <w:topLinePunct w:val="0"/>
        <w:autoSpaceDE/>
        <w:autoSpaceDN/>
        <w:bidi w:val="0"/>
        <w:adjustRightInd w:val="0"/>
        <w:snapToGrid w:val="0"/>
        <w:spacing w:before="0" w:beforeAutospacing="0" w:after="0" w:afterAutospacing="0" w:line="560" w:lineRule="exact"/>
        <w:ind w:left="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13.统筹规划全区青少年体育发展，指导和推进青少年体育工作；指导实施国家学生体质健康测试工作。</w:t>
      </w:r>
    </w:p>
    <w:p w14:paraId="08B8F8D6">
      <w:pPr>
        <w:pStyle w:val="15"/>
        <w:keepNext w:val="0"/>
        <w:keepLines w:val="0"/>
        <w:pageBreakBefore w:val="0"/>
        <w:kinsoku/>
        <w:wordWrap/>
        <w:overflowPunct/>
        <w:topLinePunct w:val="0"/>
        <w:autoSpaceDE/>
        <w:autoSpaceDN/>
        <w:bidi w:val="0"/>
        <w:adjustRightInd w:val="0"/>
        <w:snapToGrid w:val="0"/>
        <w:spacing w:before="0" w:beforeAutospacing="0" w:after="0" w:afterAutospacing="0" w:line="560" w:lineRule="exact"/>
        <w:ind w:left="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14.组织实施广播电视节目评价工作；监督管理、审查广播电视和网络视听节目的内容及质量；指导、监督广播电视广告播放。</w:t>
      </w:r>
    </w:p>
    <w:p w14:paraId="79E4EDAE">
      <w:pPr>
        <w:pStyle w:val="15"/>
        <w:keepNext w:val="0"/>
        <w:keepLines w:val="0"/>
        <w:pageBreakBefore w:val="0"/>
        <w:kinsoku/>
        <w:wordWrap/>
        <w:overflowPunct/>
        <w:topLinePunct w:val="0"/>
        <w:autoSpaceDE/>
        <w:autoSpaceDN/>
        <w:bidi w:val="0"/>
        <w:adjustRightInd w:val="0"/>
        <w:snapToGrid w:val="0"/>
        <w:spacing w:before="0" w:beforeAutospacing="0" w:after="0" w:afterAutospacing="0" w:line="560" w:lineRule="exact"/>
        <w:ind w:left="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15.拟订全区广播电视科技发展规划，指导、监督实施行业技术标准；负责广播电视节目传输覆盖、监测和安全播出的监督管理，指导、推进应急广播体系建设；推进广播电视与新媒体新技术新业态融合发展，推进广电网与电信网、互联网三网融合。</w:t>
      </w:r>
    </w:p>
    <w:p w14:paraId="798E586B">
      <w:pPr>
        <w:pStyle w:val="15"/>
        <w:keepNext w:val="0"/>
        <w:keepLines w:val="0"/>
        <w:pageBreakBefore w:val="0"/>
        <w:kinsoku/>
        <w:wordWrap/>
        <w:overflowPunct/>
        <w:topLinePunct w:val="0"/>
        <w:autoSpaceDE/>
        <w:autoSpaceDN/>
        <w:bidi w:val="0"/>
        <w:adjustRightInd w:val="0"/>
        <w:snapToGrid w:val="0"/>
        <w:spacing w:before="0" w:beforeAutospacing="0" w:after="0" w:afterAutospacing="0" w:line="560" w:lineRule="exact"/>
        <w:ind w:left="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16.管理和指导全区文物保护利用与考古工作；组织文物资源调查；负责组织遴选、申报区级以上文物保护单位；组织协调重大文物保护、考古项目的实施。协调、指导基本建设涉及文物保护相关工作；组织指导文物保护宣传工作；协调、指导和监督全区文物安全工作；履行文物行政督察职责。</w:t>
      </w:r>
    </w:p>
    <w:p w14:paraId="6F0471D2">
      <w:pPr>
        <w:pStyle w:val="15"/>
        <w:keepNext w:val="0"/>
        <w:keepLines w:val="0"/>
        <w:pageBreakBefore w:val="0"/>
        <w:kinsoku/>
        <w:wordWrap/>
        <w:overflowPunct/>
        <w:topLinePunct w:val="0"/>
        <w:autoSpaceDE/>
        <w:autoSpaceDN/>
        <w:bidi w:val="0"/>
        <w:adjustRightInd w:val="0"/>
        <w:snapToGrid w:val="0"/>
        <w:spacing w:before="0" w:beforeAutospacing="0" w:after="0" w:afterAutospacing="0" w:line="560" w:lineRule="exact"/>
        <w:ind w:left="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17.负责对全区文化遗产保护和管理的监督工作，组织开展文化遗产等申报工作。</w:t>
      </w:r>
    </w:p>
    <w:p w14:paraId="11941277">
      <w:pPr>
        <w:pStyle w:val="15"/>
        <w:keepNext w:val="0"/>
        <w:keepLines w:val="0"/>
        <w:pageBreakBefore w:val="0"/>
        <w:kinsoku/>
        <w:wordWrap/>
        <w:overflowPunct/>
        <w:topLinePunct w:val="0"/>
        <w:autoSpaceDE/>
        <w:autoSpaceDN/>
        <w:bidi w:val="0"/>
        <w:adjustRightInd w:val="0"/>
        <w:snapToGrid w:val="0"/>
        <w:spacing w:before="0" w:beforeAutospacing="0" w:after="0" w:afterAutospacing="0" w:line="560" w:lineRule="exact"/>
        <w:ind w:left="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18.负责推动完善全区文物和博物馆公共服务体系建设；指导博物馆建设管理和社会文物管理工作；组织指导文物和博物馆领域重大科研项目、科技保护、标准化建设；推动装备技术提升。</w:t>
      </w:r>
    </w:p>
    <w:p w14:paraId="46C2FCD1">
      <w:pPr>
        <w:pStyle w:val="15"/>
        <w:keepNext w:val="0"/>
        <w:keepLines w:val="0"/>
        <w:pageBreakBefore w:val="0"/>
        <w:kinsoku/>
        <w:wordWrap/>
        <w:overflowPunct/>
        <w:topLinePunct w:val="0"/>
        <w:autoSpaceDE/>
        <w:autoSpaceDN/>
        <w:bidi w:val="0"/>
        <w:adjustRightInd w:val="0"/>
        <w:snapToGrid w:val="0"/>
        <w:spacing w:before="0" w:beforeAutospacing="0" w:after="0" w:afterAutospacing="0" w:line="560" w:lineRule="exact"/>
        <w:ind w:left="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19.负责职责范围内的安全生产和职业健康、生态环境保护等工作；按照行政审批、综合执法等方面的相关要求，做好有关工作。</w:t>
      </w:r>
    </w:p>
    <w:p w14:paraId="7DF1118C">
      <w:pPr>
        <w:pStyle w:val="15"/>
        <w:keepNext w:val="0"/>
        <w:keepLines w:val="0"/>
        <w:pageBreakBefore w:val="0"/>
        <w:kinsoku/>
        <w:wordWrap/>
        <w:overflowPunct/>
        <w:topLinePunct w:val="0"/>
        <w:autoSpaceDE/>
        <w:autoSpaceDN/>
        <w:bidi w:val="0"/>
        <w:adjustRightInd w:val="0"/>
        <w:snapToGrid w:val="0"/>
        <w:spacing w:before="0" w:beforeAutospacing="0" w:after="0" w:afterAutospacing="0" w:line="560" w:lineRule="exact"/>
        <w:ind w:left="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20.完成区委、区政府交办的其他任务。</w:t>
      </w:r>
    </w:p>
    <w:p w14:paraId="7FC3DE9C">
      <w:pPr>
        <w:pStyle w:val="15"/>
        <w:keepNext w:val="0"/>
        <w:keepLines w:val="0"/>
        <w:pageBreakBefore w:val="0"/>
        <w:kinsoku/>
        <w:wordWrap/>
        <w:overflowPunct/>
        <w:topLinePunct w:val="0"/>
        <w:autoSpaceDE/>
        <w:autoSpaceDN/>
        <w:bidi w:val="0"/>
        <w:adjustRightInd w:val="0"/>
        <w:snapToGrid w:val="0"/>
        <w:spacing w:before="0" w:beforeAutospacing="0" w:after="0" w:afterAutospacing="0" w:line="560" w:lineRule="exact"/>
        <w:ind w:left="0" w:firstLine="640"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21.职能转变。以人民对美好生活的向往为引导，统筹推进文化体育事业、文化体育产业和旅游业融合发展；用好文化创意、科技创新和社会投资等新动能，促进文化体育和旅游与相关产业融合发展；坚持“绿色发展、美丽崛起”发展主线，强化“旅游主导”地位，加快建设世界重要旅游目的地增长极。</w:t>
      </w:r>
    </w:p>
    <w:p w14:paraId="74252D4B">
      <w:pPr>
        <w:pStyle w:val="3"/>
        <w:pageBreakBefore w:val="0"/>
        <w:kinsoku/>
        <w:wordWrap/>
        <w:overflowPunct/>
        <w:topLinePunct w:val="0"/>
        <w:autoSpaceDE/>
        <w:autoSpaceDN/>
        <w:bidi w:val="0"/>
        <w:spacing w:before="0" w:after="0" w:line="560" w:lineRule="exact"/>
        <w:ind w:left="0" w:firstLine="640" w:firstLineChars="200"/>
        <w:jc w:val="both"/>
        <w:textAlignment w:val="auto"/>
        <w:rPr>
          <w:rStyle w:val="30"/>
          <w:rFonts w:ascii="Times New Roman" w:hAnsi="Times New Roman"/>
          <w:b w:val="0"/>
          <w:bCs w:val="0"/>
          <w:color w:val="auto"/>
          <w:highlight w:val="none"/>
        </w:rPr>
      </w:pPr>
      <w:bookmarkStart w:id="11" w:name="_Toc15377200"/>
      <w:bookmarkStart w:id="12" w:name="_Toc25251"/>
      <w:bookmarkStart w:id="13" w:name="_Toc15396601"/>
      <w:r>
        <w:rPr>
          <w:rFonts w:hint="eastAsia" w:ascii="Times New Roman" w:hAnsi="Times New Roman" w:eastAsia="黑体"/>
          <w:b w:val="0"/>
          <w:color w:val="auto"/>
          <w:highlight w:val="none"/>
        </w:rPr>
        <w:t>二、机</w:t>
      </w:r>
      <w:r>
        <w:rPr>
          <w:rStyle w:val="30"/>
          <w:rFonts w:hint="eastAsia" w:ascii="Times New Roman" w:hAnsi="Times New Roman" w:eastAsia="黑体"/>
          <w:b w:val="0"/>
          <w:bCs w:val="0"/>
          <w:color w:val="auto"/>
          <w:highlight w:val="none"/>
        </w:rPr>
        <w:t>构设置</w:t>
      </w:r>
      <w:bookmarkEnd w:id="11"/>
      <w:bookmarkEnd w:id="12"/>
      <w:bookmarkEnd w:id="13"/>
    </w:p>
    <w:p w14:paraId="00B50CD8">
      <w:pPr>
        <w:keepNext w:val="0"/>
        <w:keepLines w:val="0"/>
        <w:pageBreakBefore w:val="0"/>
        <w:kinsoku/>
        <w:wordWrap/>
        <w:overflowPunct/>
        <w:topLinePunct w:val="0"/>
        <w:autoSpaceDE/>
        <w:autoSpaceDN/>
        <w:bidi w:val="0"/>
        <w:spacing w:line="560" w:lineRule="exact"/>
        <w:ind w:left="0" w:firstLine="640" w:firstLineChars="200"/>
        <w:jc w:val="both"/>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乐山市金口河区文化广播电视体育和旅游局下属二级</w:t>
      </w:r>
      <w:r>
        <w:rPr>
          <w:rFonts w:hint="eastAsia" w:ascii="仿宋_GB2312" w:hAnsi="仿宋_GB2312" w:eastAsia="仿宋_GB2312" w:cs="仿宋_GB2312"/>
          <w:color w:val="auto"/>
          <w:sz w:val="32"/>
          <w:szCs w:val="32"/>
          <w:highlight w:val="none"/>
          <w:lang w:eastAsia="zh-CN"/>
        </w:rPr>
        <w:t>预算</w:t>
      </w:r>
      <w:r>
        <w:rPr>
          <w:rFonts w:hint="eastAsia" w:ascii="仿宋_GB2312" w:hAnsi="仿宋_GB2312" w:eastAsia="仿宋_GB2312" w:cs="仿宋_GB2312"/>
          <w:color w:val="auto"/>
          <w:sz w:val="32"/>
          <w:szCs w:val="32"/>
          <w:highlight w:val="none"/>
        </w:rPr>
        <w:t>单位</w:t>
      </w:r>
      <w:r>
        <w:rPr>
          <w:rFonts w:hint="eastAsia" w:ascii="仿宋_GB2312" w:hAnsi="仿宋_GB2312" w:eastAsia="仿宋_GB2312" w:cs="仿宋_GB2312"/>
          <w:color w:val="auto"/>
          <w:sz w:val="32"/>
          <w:szCs w:val="32"/>
          <w:highlight w:val="none"/>
          <w:lang w:val="en-US" w:eastAsia="zh-CN"/>
        </w:rPr>
        <w:t>5</w:t>
      </w:r>
      <w:r>
        <w:rPr>
          <w:rFonts w:hint="eastAsia" w:ascii="仿宋_GB2312" w:hAnsi="仿宋_GB2312" w:eastAsia="仿宋_GB2312" w:cs="仿宋_GB2312"/>
          <w:color w:val="auto"/>
          <w:sz w:val="32"/>
          <w:szCs w:val="32"/>
          <w:highlight w:val="none"/>
        </w:rPr>
        <w:t>个，其中行政单位</w:t>
      </w:r>
      <w:r>
        <w:rPr>
          <w:rFonts w:hint="eastAsia" w:ascii="仿宋_GB2312" w:hAnsi="仿宋_GB2312" w:eastAsia="仿宋_GB2312" w:cs="仿宋_GB2312"/>
          <w:color w:val="auto"/>
          <w:sz w:val="32"/>
          <w:szCs w:val="32"/>
          <w:highlight w:val="none"/>
          <w:lang w:val="en-US" w:eastAsia="zh-CN"/>
        </w:rPr>
        <w:t>0</w:t>
      </w:r>
      <w:r>
        <w:rPr>
          <w:rFonts w:hint="eastAsia" w:ascii="仿宋_GB2312" w:hAnsi="仿宋_GB2312" w:eastAsia="仿宋_GB2312" w:cs="仿宋_GB2312"/>
          <w:color w:val="auto"/>
          <w:sz w:val="32"/>
          <w:szCs w:val="32"/>
          <w:highlight w:val="none"/>
        </w:rPr>
        <w:t>个，参照公务员法管理的事业单位</w:t>
      </w:r>
      <w:r>
        <w:rPr>
          <w:rFonts w:hint="eastAsia" w:ascii="仿宋_GB2312" w:hAnsi="仿宋_GB2312" w:eastAsia="仿宋_GB2312" w:cs="仿宋_GB2312"/>
          <w:bCs/>
          <w:color w:val="auto"/>
          <w:sz w:val="32"/>
          <w:szCs w:val="32"/>
          <w:highlight w:val="none"/>
          <w:lang w:val="en-US" w:eastAsia="zh-CN"/>
        </w:rPr>
        <w:t>1</w:t>
      </w:r>
      <w:r>
        <w:rPr>
          <w:rFonts w:hint="eastAsia" w:ascii="仿宋_GB2312" w:hAnsi="仿宋_GB2312" w:eastAsia="仿宋_GB2312" w:cs="仿宋_GB2312"/>
          <w:color w:val="auto"/>
          <w:sz w:val="32"/>
          <w:szCs w:val="32"/>
          <w:highlight w:val="none"/>
        </w:rPr>
        <w:t>个，其他事业单位</w:t>
      </w:r>
      <w:r>
        <w:rPr>
          <w:rFonts w:hint="eastAsia" w:ascii="仿宋_GB2312" w:hAnsi="仿宋_GB2312" w:eastAsia="仿宋_GB2312" w:cs="仿宋_GB2312"/>
          <w:color w:val="auto"/>
          <w:sz w:val="32"/>
          <w:szCs w:val="32"/>
          <w:highlight w:val="none"/>
          <w:lang w:val="en-US" w:eastAsia="zh-CN"/>
        </w:rPr>
        <w:t>4</w:t>
      </w:r>
      <w:r>
        <w:rPr>
          <w:rFonts w:hint="eastAsia" w:ascii="仿宋_GB2312" w:hAnsi="仿宋_GB2312" w:eastAsia="仿宋_GB2312" w:cs="仿宋_GB2312"/>
          <w:color w:val="auto"/>
          <w:sz w:val="32"/>
          <w:szCs w:val="32"/>
          <w:highlight w:val="none"/>
        </w:rPr>
        <w:t>个。</w:t>
      </w:r>
    </w:p>
    <w:p w14:paraId="79794773">
      <w:pPr>
        <w:pStyle w:val="5"/>
        <w:keepNext w:val="0"/>
        <w:keepLines w:val="0"/>
        <w:pageBreakBefore w:val="0"/>
        <w:kinsoku/>
        <w:wordWrap/>
        <w:overflowPunct/>
        <w:topLinePunct w:val="0"/>
        <w:autoSpaceDE/>
        <w:autoSpaceDN/>
        <w:bidi w:val="0"/>
        <w:adjustRightInd w:val="0"/>
        <w:snapToGrid w:val="0"/>
        <w:spacing w:beforeLines="0" w:line="560" w:lineRule="exact"/>
        <w:ind w:left="0" w:firstLine="640" w:firstLineChars="200"/>
        <w:jc w:val="both"/>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纳入</w:t>
      </w:r>
      <w:r>
        <w:rPr>
          <w:rFonts w:hint="eastAsia" w:ascii="仿宋_GB2312" w:hAnsi="仿宋_GB2312" w:eastAsia="仿宋_GB2312" w:cs="仿宋_GB2312"/>
          <w:sz w:val="32"/>
          <w:szCs w:val="32"/>
        </w:rPr>
        <w:t>乐山市金口河区文化广播电视体育和旅游局</w:t>
      </w:r>
      <w:r>
        <w:rPr>
          <w:rFonts w:hint="eastAsia" w:ascii="仿宋_GB2312" w:hAnsi="仿宋_GB2312" w:eastAsia="仿宋_GB2312" w:cs="仿宋_GB2312"/>
          <w:color w:val="auto"/>
          <w:sz w:val="32"/>
          <w:szCs w:val="32"/>
          <w:highlight w:val="none"/>
          <w:lang w:eastAsia="zh-CN"/>
        </w:rPr>
        <w:t>2024年度</w:t>
      </w:r>
      <w:r>
        <w:rPr>
          <w:rFonts w:hint="eastAsia" w:ascii="仿宋_GB2312" w:hAnsi="仿宋_GB2312" w:eastAsia="仿宋_GB2312" w:cs="仿宋_GB2312"/>
          <w:color w:val="auto"/>
          <w:sz w:val="32"/>
          <w:szCs w:val="32"/>
          <w:highlight w:val="none"/>
        </w:rPr>
        <w:t>部门决算编制范围的二级预算单位包括：</w:t>
      </w:r>
    </w:p>
    <w:p w14:paraId="6FC3992B">
      <w:pPr>
        <w:pStyle w:val="5"/>
        <w:keepNext w:val="0"/>
        <w:keepLines w:val="0"/>
        <w:pageBreakBefore w:val="0"/>
        <w:numPr>
          <w:ilvl w:val="0"/>
          <w:numId w:val="0"/>
        </w:numPr>
        <w:kinsoku/>
        <w:wordWrap/>
        <w:overflowPunct/>
        <w:topLinePunct w:val="0"/>
        <w:autoSpaceDE/>
        <w:autoSpaceDN/>
        <w:bidi w:val="0"/>
        <w:adjustRightInd w:val="0"/>
        <w:snapToGrid w:val="0"/>
        <w:spacing w:beforeLines="0" w:line="560" w:lineRule="exact"/>
        <w:ind w:left="0" w:leftChars="0" w:firstLine="640" w:firstLineChars="200"/>
        <w:jc w:val="both"/>
        <w:textAlignment w:val="auto"/>
        <w:outlineLvl w:val="2"/>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无。</w:t>
      </w:r>
    </w:p>
    <w:p w14:paraId="531E9048">
      <w:pPr>
        <w:pageBreakBefore w:val="0"/>
        <w:widowControl/>
        <w:kinsoku/>
        <w:wordWrap/>
        <w:overflowPunct/>
        <w:topLinePunct w:val="0"/>
        <w:autoSpaceDE/>
        <w:autoSpaceDN/>
        <w:bidi w:val="0"/>
        <w:spacing w:line="560" w:lineRule="exact"/>
        <w:ind w:left="0" w:firstLine="640" w:firstLineChars="200"/>
        <w:jc w:val="both"/>
        <w:textAlignment w:val="auto"/>
        <w:rPr>
          <w:rFonts w:ascii="Times New Roman" w:hAnsi="Times New Roman" w:eastAsia="仿宋"/>
          <w:color w:val="auto"/>
          <w:kern w:val="0"/>
          <w:sz w:val="32"/>
          <w:szCs w:val="32"/>
          <w:highlight w:val="none"/>
        </w:rPr>
      </w:pPr>
      <w:r>
        <w:rPr>
          <w:rFonts w:ascii="Times New Roman" w:hAnsi="Times New Roman" w:eastAsia="仿宋"/>
          <w:color w:val="auto"/>
          <w:sz w:val="32"/>
          <w:szCs w:val="32"/>
          <w:highlight w:val="none"/>
        </w:rPr>
        <w:br w:type="page"/>
      </w:r>
    </w:p>
    <w:p w14:paraId="7847BCD7">
      <w:pPr>
        <w:pStyle w:val="2"/>
        <w:jc w:val="center"/>
        <w:rPr>
          <w:rFonts w:hint="eastAsia" w:ascii="Times New Roman" w:hAnsi="Times New Roman" w:eastAsia="方正小标宋简体" w:cs="方正小标宋简体"/>
          <w:b w:val="0"/>
          <w:color w:val="auto"/>
          <w:highlight w:val="none"/>
        </w:rPr>
      </w:pPr>
      <w:bookmarkStart w:id="14" w:name="_Toc15396602"/>
      <w:bookmarkStart w:id="15" w:name="_Toc15377204"/>
      <w:bookmarkStart w:id="16" w:name="_Toc4027"/>
      <w:r>
        <w:rPr>
          <w:rFonts w:hint="eastAsia" w:ascii="Times New Roman" w:hAnsi="Times New Roman" w:eastAsia="方正小标宋简体" w:cs="方正小标宋简体"/>
          <w:b w:val="0"/>
          <w:color w:val="auto"/>
          <w:highlight w:val="none"/>
        </w:rPr>
        <w:t>第二部分</w:t>
      </w:r>
      <w:r>
        <w:rPr>
          <w:rFonts w:hint="eastAsia" w:ascii="Times New Roman" w:hAnsi="Times New Roman" w:eastAsia="方正小标宋简体" w:cs="方正小标宋简体"/>
          <w:b w:val="0"/>
          <w:color w:val="auto"/>
          <w:highlight w:val="none"/>
          <w:lang w:val="en-US" w:eastAsia="zh-CN"/>
        </w:rPr>
        <w:t xml:space="preserve"> </w:t>
      </w:r>
      <w:r>
        <w:rPr>
          <w:rFonts w:hint="eastAsia" w:ascii="Times New Roman" w:hAnsi="Times New Roman" w:eastAsia="方正小标宋简体" w:cs="方正小标宋简体"/>
          <w:b w:val="0"/>
          <w:color w:val="auto"/>
          <w:highlight w:val="none"/>
        </w:rPr>
        <w:t xml:space="preserve"> </w:t>
      </w:r>
      <w:r>
        <w:rPr>
          <w:rFonts w:hint="eastAsia" w:ascii="Times New Roman" w:hAnsi="Times New Roman" w:eastAsia="方正小标宋简体" w:cs="方正小标宋简体"/>
          <w:b w:val="0"/>
          <w:color w:val="auto"/>
          <w:highlight w:val="none"/>
          <w:lang w:val="en-US" w:eastAsia="zh-CN"/>
        </w:rPr>
        <w:t>2024年度</w:t>
      </w:r>
      <w:r>
        <w:rPr>
          <w:rFonts w:hint="eastAsia" w:ascii="Times New Roman" w:hAnsi="Times New Roman" w:eastAsia="方正小标宋简体" w:cs="方正小标宋简体"/>
          <w:b w:val="0"/>
          <w:color w:val="auto"/>
          <w:highlight w:val="none"/>
        </w:rPr>
        <w:t>部门决算情况说明</w:t>
      </w:r>
      <w:bookmarkEnd w:id="14"/>
      <w:bookmarkEnd w:id="15"/>
      <w:bookmarkEnd w:id="16"/>
    </w:p>
    <w:p w14:paraId="0B05E87F">
      <w:pPr>
        <w:rPr>
          <w:rFonts w:ascii="Times New Roman" w:hAnsi="Times New Roman"/>
          <w:color w:val="auto"/>
          <w:highlight w:val="none"/>
        </w:rPr>
      </w:pPr>
    </w:p>
    <w:p w14:paraId="50F708CC">
      <w:pPr>
        <w:pStyle w:val="28"/>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firstLine="640" w:firstLineChars="200"/>
        <w:jc w:val="both"/>
        <w:textAlignment w:val="auto"/>
        <w:outlineLvl w:val="1"/>
        <w:rPr>
          <w:rStyle w:val="30"/>
          <w:rFonts w:hint="eastAsia" w:ascii="Times New Roman" w:hAnsi="Times New Roman" w:eastAsia="黑体"/>
          <w:b w:val="0"/>
          <w:color w:val="auto"/>
          <w:highlight w:val="none"/>
        </w:rPr>
      </w:pPr>
      <w:bookmarkStart w:id="17" w:name="_Toc15377205"/>
      <w:bookmarkStart w:id="18" w:name="_Toc3260"/>
      <w:bookmarkStart w:id="19" w:name="_Toc15396603"/>
      <w:r>
        <w:rPr>
          <w:rFonts w:hint="eastAsia" w:ascii="Times New Roman" w:hAnsi="Times New Roman" w:eastAsia="黑体"/>
          <w:color w:val="auto"/>
          <w:sz w:val="32"/>
          <w:szCs w:val="32"/>
          <w:highlight w:val="none"/>
          <w:lang w:eastAsia="zh-CN"/>
        </w:rPr>
        <w:t>一、</w:t>
      </w:r>
      <w:r>
        <w:rPr>
          <w:rFonts w:hint="eastAsia" w:ascii="Times New Roman" w:hAnsi="Times New Roman" w:eastAsia="黑体"/>
          <w:color w:val="auto"/>
          <w:sz w:val="32"/>
          <w:szCs w:val="32"/>
          <w:highlight w:val="none"/>
        </w:rPr>
        <w:t>收</w:t>
      </w:r>
      <w:r>
        <w:rPr>
          <w:rStyle w:val="30"/>
          <w:rFonts w:hint="eastAsia" w:ascii="Times New Roman" w:hAnsi="Times New Roman" w:eastAsia="黑体"/>
          <w:b w:val="0"/>
          <w:color w:val="auto"/>
          <w:highlight w:val="none"/>
        </w:rPr>
        <w:t>入支出决算总体情况说明</w:t>
      </w:r>
      <w:bookmarkEnd w:id="17"/>
      <w:bookmarkEnd w:id="18"/>
      <w:bookmarkEnd w:id="19"/>
    </w:p>
    <w:p w14:paraId="2F3B7A1F">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jc w:val="both"/>
        <w:textAlignment w:val="auto"/>
        <w:rPr>
          <w:rFonts w:hint="eastAsia" w:ascii="仿宋_GB2312" w:hAnsi="仿宋_GB2312" w:eastAsia="仿宋_GB2312" w:cs="仿宋_GB2312"/>
          <w:color w:val="auto"/>
          <w:sz w:val="32"/>
          <w:szCs w:val="32"/>
          <w:highlight w:val="none"/>
          <w:lang w:eastAsia="zh-CN"/>
        </w:rPr>
      </w:pPr>
      <w:r>
        <w:rPr>
          <w:rFonts w:hint="eastAsia" w:ascii="仿宋_GB2312" w:hAnsi="仿宋_GB2312" w:eastAsia="仿宋_GB2312" w:cs="仿宋_GB2312"/>
          <w:color w:val="auto"/>
          <w:sz w:val="32"/>
          <w:szCs w:val="32"/>
          <w:highlight w:val="none"/>
          <w:lang w:eastAsia="zh-CN"/>
        </w:rPr>
        <w:t>2024年度收入</w:t>
      </w:r>
      <w:r>
        <w:rPr>
          <w:rFonts w:hint="eastAsia" w:ascii="仿宋_GB2312" w:hAnsi="仿宋_GB2312" w:eastAsia="仿宋_GB2312" w:cs="仿宋_GB2312"/>
          <w:color w:val="auto"/>
          <w:sz w:val="32"/>
          <w:szCs w:val="32"/>
          <w:highlight w:val="none"/>
        </w:rPr>
        <w:t>、</w:t>
      </w:r>
      <w:r>
        <w:rPr>
          <w:rFonts w:hint="eastAsia" w:ascii="仿宋_GB2312" w:hAnsi="仿宋_GB2312" w:eastAsia="仿宋_GB2312" w:cs="仿宋_GB2312"/>
          <w:color w:val="auto"/>
          <w:sz w:val="32"/>
          <w:szCs w:val="32"/>
          <w:highlight w:val="none"/>
          <w:lang w:eastAsia="zh-CN"/>
        </w:rPr>
        <w:t>支出</w:t>
      </w:r>
      <w:r>
        <w:rPr>
          <w:rFonts w:hint="eastAsia" w:ascii="仿宋_GB2312" w:hAnsi="仿宋_GB2312" w:eastAsia="仿宋_GB2312" w:cs="仿宋_GB2312"/>
          <w:color w:val="auto"/>
          <w:sz w:val="32"/>
          <w:szCs w:val="32"/>
          <w:highlight w:val="none"/>
        </w:rPr>
        <w:t>总计</w:t>
      </w:r>
      <w:r>
        <w:rPr>
          <w:rFonts w:hint="eastAsia" w:ascii="仿宋_GB2312" w:hAnsi="仿宋_GB2312" w:eastAsia="仿宋_GB2312" w:cs="仿宋_GB2312"/>
          <w:color w:val="auto"/>
          <w:sz w:val="32"/>
          <w:szCs w:val="32"/>
          <w:highlight w:val="none"/>
          <w:lang w:eastAsia="zh-CN"/>
        </w:rPr>
        <w:t>均为</w:t>
      </w:r>
      <w:r>
        <w:rPr>
          <w:rFonts w:hint="eastAsia" w:ascii="仿宋_GB2312" w:hAnsi="仿宋_GB2312" w:eastAsia="仿宋_GB2312" w:cs="仿宋_GB2312"/>
          <w:sz w:val="32"/>
          <w:szCs w:val="32"/>
        </w:rPr>
        <w:t>1044.02</w:t>
      </w:r>
      <w:r>
        <w:rPr>
          <w:rFonts w:hint="eastAsia" w:ascii="仿宋_GB2312" w:hAnsi="仿宋_GB2312" w:eastAsia="仿宋_GB2312" w:cs="仿宋_GB2312"/>
          <w:color w:val="auto"/>
          <w:sz w:val="32"/>
          <w:szCs w:val="32"/>
          <w:highlight w:val="none"/>
        </w:rPr>
        <w:t>万元。与</w:t>
      </w:r>
      <w:r>
        <w:rPr>
          <w:rFonts w:hint="eastAsia" w:ascii="仿宋_GB2312" w:hAnsi="仿宋_GB2312" w:eastAsia="仿宋_GB2312" w:cs="仿宋_GB2312"/>
          <w:color w:val="auto"/>
          <w:sz w:val="32"/>
          <w:szCs w:val="32"/>
          <w:highlight w:val="none"/>
          <w:lang w:eastAsia="zh-CN"/>
        </w:rPr>
        <w:t>202</w:t>
      </w:r>
      <w:r>
        <w:rPr>
          <w:rFonts w:hint="eastAsia" w:ascii="仿宋_GB2312" w:hAnsi="仿宋_GB2312" w:eastAsia="仿宋_GB2312" w:cs="仿宋_GB2312"/>
          <w:color w:val="auto"/>
          <w:sz w:val="32"/>
          <w:szCs w:val="32"/>
          <w:highlight w:val="none"/>
          <w:lang w:val="en-US" w:eastAsia="zh-CN"/>
        </w:rPr>
        <w:t>3</w:t>
      </w:r>
      <w:r>
        <w:rPr>
          <w:rFonts w:hint="eastAsia" w:ascii="仿宋_GB2312" w:hAnsi="仿宋_GB2312" w:eastAsia="仿宋_GB2312" w:cs="仿宋_GB2312"/>
          <w:color w:val="auto"/>
          <w:sz w:val="32"/>
          <w:szCs w:val="32"/>
          <w:highlight w:val="none"/>
        </w:rPr>
        <w:t>年</w:t>
      </w:r>
      <w:r>
        <w:rPr>
          <w:rFonts w:hint="eastAsia" w:ascii="仿宋_GB2312" w:hAnsi="仿宋_GB2312" w:eastAsia="仿宋_GB2312" w:cs="仿宋_GB2312"/>
          <w:color w:val="auto"/>
          <w:sz w:val="32"/>
          <w:szCs w:val="32"/>
          <w:highlight w:val="none"/>
          <w:lang w:eastAsia="zh-CN"/>
        </w:rPr>
        <w:t>度</w:t>
      </w:r>
      <w:r>
        <w:rPr>
          <w:rFonts w:hint="eastAsia" w:ascii="仿宋_GB2312" w:hAnsi="仿宋_GB2312" w:eastAsia="仿宋_GB2312" w:cs="仿宋_GB2312"/>
          <w:color w:val="auto"/>
          <w:sz w:val="32"/>
          <w:szCs w:val="32"/>
          <w:highlight w:val="none"/>
        </w:rPr>
        <w:t>相比，</w:t>
      </w:r>
      <w:r>
        <w:rPr>
          <w:rFonts w:hint="eastAsia" w:ascii="仿宋_GB2312" w:hAnsi="仿宋_GB2312" w:eastAsia="仿宋_GB2312" w:cs="仿宋_GB2312"/>
          <w:color w:val="auto"/>
          <w:sz w:val="32"/>
          <w:szCs w:val="32"/>
          <w:highlight w:val="none"/>
          <w:lang w:eastAsia="zh-CN"/>
        </w:rPr>
        <w:t>收入</w:t>
      </w:r>
      <w:r>
        <w:rPr>
          <w:rFonts w:hint="eastAsia" w:ascii="仿宋_GB2312" w:hAnsi="仿宋_GB2312" w:eastAsia="仿宋_GB2312" w:cs="仿宋_GB2312"/>
          <w:color w:val="auto"/>
          <w:sz w:val="32"/>
          <w:szCs w:val="32"/>
          <w:highlight w:val="none"/>
        </w:rPr>
        <w:t>、</w:t>
      </w:r>
      <w:r>
        <w:rPr>
          <w:rFonts w:hint="eastAsia" w:ascii="仿宋_GB2312" w:hAnsi="仿宋_GB2312" w:eastAsia="仿宋_GB2312" w:cs="仿宋_GB2312"/>
          <w:color w:val="auto"/>
          <w:sz w:val="32"/>
          <w:szCs w:val="32"/>
          <w:highlight w:val="none"/>
          <w:lang w:eastAsia="zh-CN"/>
        </w:rPr>
        <w:t>支出</w:t>
      </w:r>
      <w:r>
        <w:rPr>
          <w:rFonts w:hint="eastAsia" w:ascii="仿宋_GB2312" w:hAnsi="仿宋_GB2312" w:eastAsia="仿宋_GB2312" w:cs="仿宋_GB2312"/>
          <w:color w:val="auto"/>
          <w:sz w:val="32"/>
          <w:szCs w:val="32"/>
          <w:highlight w:val="none"/>
        </w:rPr>
        <w:t>总计各增加</w:t>
      </w:r>
      <w:r>
        <w:rPr>
          <w:rFonts w:hint="eastAsia" w:ascii="仿宋_GB2312" w:hAnsi="仿宋_GB2312" w:eastAsia="仿宋_GB2312" w:cs="仿宋_GB2312"/>
          <w:color w:val="auto"/>
          <w:sz w:val="32"/>
          <w:szCs w:val="32"/>
          <w:highlight w:val="none"/>
          <w:lang w:val="en-US" w:eastAsia="zh-CN"/>
        </w:rPr>
        <w:t>109.73</w:t>
      </w:r>
      <w:r>
        <w:rPr>
          <w:rFonts w:hint="eastAsia" w:ascii="仿宋_GB2312" w:hAnsi="仿宋_GB2312" w:eastAsia="仿宋_GB2312" w:cs="仿宋_GB2312"/>
          <w:color w:val="auto"/>
          <w:sz w:val="32"/>
          <w:szCs w:val="32"/>
          <w:highlight w:val="none"/>
        </w:rPr>
        <w:t>万元，增长</w:t>
      </w:r>
      <w:r>
        <w:rPr>
          <w:rFonts w:hint="eastAsia" w:ascii="仿宋_GB2312" w:hAnsi="仿宋_GB2312" w:eastAsia="仿宋_GB2312" w:cs="仿宋_GB2312"/>
          <w:color w:val="auto"/>
          <w:sz w:val="32"/>
          <w:szCs w:val="32"/>
          <w:highlight w:val="none"/>
          <w:lang w:val="en-US" w:eastAsia="zh-CN"/>
        </w:rPr>
        <w:t>11.74</w:t>
      </w:r>
      <w:r>
        <w:rPr>
          <w:rFonts w:hint="eastAsia" w:ascii="仿宋_GB2312" w:hAnsi="仿宋_GB2312" w:eastAsia="仿宋_GB2312" w:cs="仿宋_GB2312"/>
          <w:color w:val="auto"/>
          <w:sz w:val="32"/>
          <w:szCs w:val="32"/>
          <w:highlight w:val="none"/>
        </w:rPr>
        <w:t>%。主要变动原因是</w:t>
      </w:r>
      <w:r>
        <w:rPr>
          <w:rFonts w:hint="eastAsia" w:ascii="仿宋_GB2312" w:hAnsi="仿宋_GB2312" w:eastAsia="仿宋_GB2312" w:cs="仿宋_GB2312"/>
          <w:sz w:val="32"/>
          <w:szCs w:val="32"/>
        </w:rPr>
        <w:t>项目经费增加。</w:t>
      </w:r>
    </w:p>
    <w:p w14:paraId="533416CE">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imes New Roman" w:hAnsi="Times New Roman" w:eastAsia="仿宋_GB2312" w:cs="仿宋_GB2312"/>
          <w:color w:val="auto"/>
          <w:sz w:val="32"/>
          <w:szCs w:val="32"/>
          <w:highlight w:val="none"/>
        </w:rPr>
      </w:pPr>
      <w:r>
        <w:rPr>
          <w:rFonts w:hint="eastAsia"/>
          <w:lang w:val="en-US" w:eastAsia="zh-CN"/>
        </w:rPr>
        <w:t xml:space="preserve">     </w:t>
      </w:r>
      <w:r>
        <w:drawing>
          <wp:inline distT="0" distB="0" distL="114300" distR="114300">
            <wp:extent cx="4244340" cy="2306955"/>
            <wp:effectExtent l="4445" t="4445" r="18415" b="12700"/>
            <wp:docPr id="3" name="图表 2"/>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inline>
        </w:drawing>
      </w:r>
    </w:p>
    <w:p w14:paraId="7E0FB2A9">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Times New Roman" w:hAnsi="Times New Roman" w:eastAsia="黑体"/>
          <w:color w:val="auto"/>
          <w:sz w:val="32"/>
          <w:szCs w:val="32"/>
          <w:highlight w:val="none"/>
          <w:lang w:eastAsia="zh-CN"/>
        </w:rPr>
      </w:pPr>
      <w:bookmarkStart w:id="20" w:name="_Toc15396604"/>
      <w:bookmarkStart w:id="21" w:name="_Toc15377206"/>
      <w:r>
        <w:rPr>
          <w:rFonts w:hint="eastAsia" w:ascii="Times New Roman" w:hAnsi="Times New Roman" w:eastAsia="仿宋_GB2312" w:cs="仿宋_GB2312"/>
          <w:color w:val="auto"/>
          <w:sz w:val="32"/>
          <w:szCs w:val="32"/>
          <w:highlight w:val="none"/>
        </w:rPr>
        <w:t>（图1：</w:t>
      </w:r>
      <w:r>
        <w:rPr>
          <w:rFonts w:hint="eastAsia" w:ascii="Times New Roman" w:hAnsi="Times New Roman" w:eastAsia="仿宋_GB2312" w:cs="仿宋_GB2312"/>
          <w:color w:val="auto"/>
          <w:sz w:val="32"/>
          <w:szCs w:val="32"/>
          <w:highlight w:val="none"/>
          <w:lang w:eastAsia="zh-CN"/>
        </w:rPr>
        <w:t>收入</w:t>
      </w:r>
      <w:r>
        <w:rPr>
          <w:rFonts w:hint="eastAsia" w:ascii="Times New Roman" w:hAnsi="Times New Roman" w:eastAsia="仿宋_GB2312" w:cs="仿宋_GB2312"/>
          <w:color w:val="auto"/>
          <w:sz w:val="32"/>
          <w:szCs w:val="32"/>
          <w:highlight w:val="none"/>
        </w:rPr>
        <w:t>、</w:t>
      </w:r>
      <w:r>
        <w:rPr>
          <w:rFonts w:hint="eastAsia" w:ascii="Times New Roman" w:hAnsi="Times New Roman" w:eastAsia="仿宋_GB2312" w:cs="仿宋_GB2312"/>
          <w:color w:val="auto"/>
          <w:sz w:val="32"/>
          <w:szCs w:val="32"/>
          <w:highlight w:val="none"/>
          <w:lang w:eastAsia="zh-CN"/>
        </w:rPr>
        <w:t>支出</w:t>
      </w:r>
      <w:r>
        <w:rPr>
          <w:rFonts w:hint="eastAsia" w:ascii="Times New Roman" w:hAnsi="Times New Roman" w:eastAsia="仿宋_GB2312" w:cs="仿宋_GB2312"/>
          <w:color w:val="auto"/>
          <w:sz w:val="32"/>
          <w:szCs w:val="32"/>
          <w:highlight w:val="none"/>
        </w:rPr>
        <w:t>决算总计变动情况图）（柱状图）</w:t>
      </w:r>
    </w:p>
    <w:p w14:paraId="2A33D0D1">
      <w:pPr>
        <w:pStyle w:val="28"/>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firstLine="640" w:firstLineChars="200"/>
        <w:jc w:val="both"/>
        <w:textAlignment w:val="auto"/>
        <w:outlineLvl w:val="1"/>
        <w:rPr>
          <w:rFonts w:hint="eastAsia" w:ascii="Times New Roman" w:hAnsi="Times New Roman" w:eastAsia="黑体"/>
          <w:color w:val="auto"/>
          <w:sz w:val="32"/>
          <w:szCs w:val="32"/>
          <w:highlight w:val="none"/>
          <w:lang w:eastAsia="zh-CN"/>
        </w:rPr>
      </w:pPr>
      <w:bookmarkStart w:id="22" w:name="_Toc9162"/>
      <w:r>
        <w:rPr>
          <w:rFonts w:hint="eastAsia" w:ascii="Times New Roman" w:hAnsi="Times New Roman" w:eastAsia="黑体"/>
          <w:color w:val="auto"/>
          <w:sz w:val="32"/>
          <w:szCs w:val="32"/>
          <w:highlight w:val="none"/>
          <w:lang w:eastAsia="zh-CN"/>
        </w:rPr>
        <w:t>二、收入决算情况说明</w:t>
      </w:r>
      <w:bookmarkEnd w:id="20"/>
      <w:bookmarkEnd w:id="21"/>
      <w:bookmarkEnd w:id="22"/>
    </w:p>
    <w:p w14:paraId="37548B09">
      <w:pPr>
        <w:pStyle w:val="28"/>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firstLine="640" w:firstLineChars="200"/>
        <w:jc w:val="both"/>
        <w:textAlignment w:val="auto"/>
        <w:outlineLvl w:val="1"/>
        <w:rPr>
          <w:rFonts w:hint="eastAsia" w:ascii="Times New Roman" w:hAnsi="Times New Roman" w:eastAsia="仿宋_GB2312" w:cs="仿宋_GB2312"/>
          <w:b/>
          <w:bCs/>
          <w:color w:val="auto"/>
          <w:sz w:val="32"/>
          <w:szCs w:val="32"/>
          <w:highlight w:val="none"/>
          <w:lang w:eastAsia="zh-CN"/>
        </w:rPr>
      </w:pPr>
      <w:bookmarkStart w:id="23" w:name="_Toc9115"/>
      <w:r>
        <w:rPr>
          <w:rFonts w:hint="eastAsia" w:ascii="仿宋_GB2312" w:hAnsi="仿宋_GB2312" w:eastAsia="仿宋_GB2312" w:cs="仿宋_GB2312"/>
          <w:color w:val="auto"/>
          <w:sz w:val="32"/>
          <w:szCs w:val="32"/>
          <w:highlight w:val="none"/>
          <w:lang w:eastAsia="zh-CN"/>
        </w:rPr>
        <w:t>2024年度本年收入合计</w:t>
      </w:r>
      <w:r>
        <w:rPr>
          <w:rFonts w:hint="eastAsia" w:ascii="仿宋_GB2312" w:hAnsi="仿宋_GB2312" w:eastAsia="仿宋_GB2312" w:cs="仿宋_GB2312"/>
          <w:sz w:val="32"/>
          <w:szCs w:val="32"/>
        </w:rPr>
        <w:t>1044.02万元，其中：一般公共预算财政拨款收入983.9</w:t>
      </w:r>
      <w:r>
        <w:rPr>
          <w:rFonts w:hint="eastAsia" w:ascii="仿宋_GB2312" w:hAnsi="仿宋_GB2312" w:eastAsia="仿宋_GB2312" w:cs="仿宋_GB2312"/>
          <w:color w:val="auto"/>
          <w:sz w:val="32"/>
          <w:szCs w:val="32"/>
          <w:highlight w:val="none"/>
          <w:lang w:eastAsia="zh-CN"/>
        </w:rPr>
        <w:t>万元，占</w:t>
      </w:r>
      <w:r>
        <w:rPr>
          <w:rFonts w:hint="eastAsia" w:ascii="仿宋_GB2312" w:hAnsi="仿宋_GB2312" w:eastAsia="仿宋_GB2312" w:cs="仿宋_GB2312"/>
          <w:sz w:val="32"/>
          <w:szCs w:val="32"/>
        </w:rPr>
        <w:t>94.24</w:t>
      </w:r>
      <w:r>
        <w:rPr>
          <w:rFonts w:hint="eastAsia" w:ascii="仿宋_GB2312" w:hAnsi="仿宋_GB2312" w:eastAsia="仿宋_GB2312" w:cs="仿宋_GB2312"/>
          <w:color w:val="auto"/>
          <w:sz w:val="32"/>
          <w:szCs w:val="32"/>
          <w:highlight w:val="none"/>
          <w:lang w:eastAsia="zh-CN"/>
        </w:rPr>
        <w:t>%；政府性基金预算财政拨款收入</w:t>
      </w:r>
      <w:r>
        <w:rPr>
          <w:rFonts w:hint="eastAsia" w:ascii="仿宋_GB2312" w:hAnsi="仿宋_GB2312" w:eastAsia="仿宋_GB2312" w:cs="仿宋_GB2312"/>
          <w:sz w:val="32"/>
          <w:szCs w:val="32"/>
        </w:rPr>
        <w:t>44.73</w:t>
      </w:r>
      <w:r>
        <w:rPr>
          <w:rFonts w:hint="eastAsia" w:ascii="仿宋_GB2312" w:hAnsi="仿宋_GB2312" w:eastAsia="仿宋_GB2312" w:cs="仿宋_GB2312"/>
          <w:color w:val="auto"/>
          <w:sz w:val="32"/>
          <w:szCs w:val="32"/>
          <w:highlight w:val="none"/>
          <w:lang w:eastAsia="zh-CN"/>
        </w:rPr>
        <w:t>万元，占</w:t>
      </w:r>
      <w:r>
        <w:rPr>
          <w:rFonts w:hint="eastAsia" w:ascii="仿宋_GB2312" w:hAnsi="仿宋_GB2312" w:eastAsia="仿宋_GB2312" w:cs="仿宋_GB2312"/>
          <w:sz w:val="32"/>
          <w:szCs w:val="32"/>
        </w:rPr>
        <w:t>4.28%</w:t>
      </w:r>
      <w:r>
        <w:rPr>
          <w:rFonts w:hint="eastAsia" w:ascii="仿宋_GB2312" w:hAnsi="仿宋_GB2312" w:eastAsia="仿宋_GB2312" w:cs="仿宋_GB2312"/>
          <w:color w:val="auto"/>
          <w:sz w:val="32"/>
          <w:szCs w:val="32"/>
          <w:highlight w:val="none"/>
          <w:lang w:eastAsia="zh-CN"/>
        </w:rPr>
        <w:t>%；国有资本经营预算财政拨款收入</w:t>
      </w:r>
      <w:r>
        <w:rPr>
          <w:rFonts w:hint="eastAsia" w:ascii="仿宋_GB2312" w:hAnsi="仿宋_GB2312" w:eastAsia="仿宋_GB2312" w:cs="仿宋_GB2312"/>
          <w:sz w:val="32"/>
          <w:szCs w:val="32"/>
        </w:rPr>
        <w:t>0</w:t>
      </w:r>
      <w:r>
        <w:rPr>
          <w:rFonts w:hint="eastAsia" w:ascii="仿宋_GB2312" w:hAnsi="仿宋_GB2312" w:eastAsia="仿宋_GB2312" w:cs="仿宋_GB2312"/>
          <w:color w:val="auto"/>
          <w:sz w:val="32"/>
          <w:szCs w:val="32"/>
          <w:highlight w:val="none"/>
          <w:lang w:eastAsia="zh-CN"/>
        </w:rPr>
        <w:t>万元，占</w:t>
      </w:r>
      <w:r>
        <w:rPr>
          <w:rFonts w:hint="eastAsia" w:ascii="仿宋_GB2312" w:hAnsi="仿宋_GB2312" w:eastAsia="仿宋_GB2312" w:cs="仿宋_GB2312"/>
          <w:sz w:val="32"/>
          <w:szCs w:val="32"/>
        </w:rPr>
        <w:t>0</w:t>
      </w:r>
      <w:r>
        <w:rPr>
          <w:rFonts w:hint="eastAsia" w:ascii="仿宋_GB2312" w:hAnsi="仿宋_GB2312" w:eastAsia="仿宋_GB2312" w:cs="仿宋_GB2312"/>
          <w:color w:val="auto"/>
          <w:sz w:val="32"/>
          <w:szCs w:val="32"/>
          <w:highlight w:val="none"/>
          <w:lang w:eastAsia="zh-CN"/>
        </w:rPr>
        <w:t>%；上级补助收入</w:t>
      </w:r>
      <w:r>
        <w:rPr>
          <w:rFonts w:hint="eastAsia" w:ascii="仿宋_GB2312" w:hAnsi="仿宋_GB2312" w:eastAsia="仿宋_GB2312" w:cs="仿宋_GB2312"/>
          <w:sz w:val="32"/>
          <w:szCs w:val="32"/>
        </w:rPr>
        <w:t>0</w:t>
      </w:r>
      <w:r>
        <w:rPr>
          <w:rFonts w:hint="eastAsia" w:ascii="仿宋_GB2312" w:hAnsi="仿宋_GB2312" w:eastAsia="仿宋_GB2312" w:cs="仿宋_GB2312"/>
          <w:color w:val="auto"/>
          <w:sz w:val="32"/>
          <w:szCs w:val="32"/>
          <w:highlight w:val="none"/>
          <w:lang w:eastAsia="zh-CN"/>
        </w:rPr>
        <w:t>万元，占</w:t>
      </w:r>
      <w:r>
        <w:rPr>
          <w:rFonts w:hint="eastAsia" w:ascii="仿宋_GB2312" w:hAnsi="仿宋_GB2312" w:eastAsia="仿宋_GB2312" w:cs="仿宋_GB2312"/>
          <w:sz w:val="32"/>
          <w:szCs w:val="32"/>
        </w:rPr>
        <w:t>0</w:t>
      </w:r>
      <w:r>
        <w:rPr>
          <w:rFonts w:hint="eastAsia" w:ascii="仿宋_GB2312" w:hAnsi="仿宋_GB2312" w:eastAsia="仿宋_GB2312" w:cs="仿宋_GB2312"/>
          <w:color w:val="auto"/>
          <w:sz w:val="32"/>
          <w:szCs w:val="32"/>
          <w:highlight w:val="none"/>
          <w:lang w:eastAsia="zh-CN"/>
        </w:rPr>
        <w:t>%；事业收入</w:t>
      </w:r>
      <w:r>
        <w:rPr>
          <w:rFonts w:hint="eastAsia" w:ascii="仿宋_GB2312" w:hAnsi="仿宋_GB2312" w:eastAsia="仿宋_GB2312" w:cs="仿宋_GB2312"/>
          <w:sz w:val="32"/>
          <w:szCs w:val="32"/>
        </w:rPr>
        <w:t>0</w:t>
      </w:r>
      <w:r>
        <w:rPr>
          <w:rFonts w:hint="eastAsia" w:ascii="仿宋_GB2312" w:hAnsi="仿宋_GB2312" w:eastAsia="仿宋_GB2312" w:cs="仿宋_GB2312"/>
          <w:color w:val="auto"/>
          <w:sz w:val="32"/>
          <w:szCs w:val="32"/>
          <w:highlight w:val="none"/>
          <w:lang w:eastAsia="zh-CN"/>
        </w:rPr>
        <w:t>万元，占</w:t>
      </w:r>
      <w:r>
        <w:rPr>
          <w:rFonts w:hint="eastAsia" w:ascii="仿宋_GB2312" w:hAnsi="仿宋_GB2312" w:eastAsia="仿宋_GB2312" w:cs="仿宋_GB2312"/>
          <w:sz w:val="32"/>
          <w:szCs w:val="32"/>
        </w:rPr>
        <w:t>0</w:t>
      </w:r>
      <w:r>
        <w:rPr>
          <w:rFonts w:hint="eastAsia" w:ascii="仿宋_GB2312" w:hAnsi="仿宋_GB2312" w:eastAsia="仿宋_GB2312" w:cs="仿宋_GB2312"/>
          <w:color w:val="auto"/>
          <w:sz w:val="32"/>
          <w:szCs w:val="32"/>
          <w:highlight w:val="none"/>
          <w:lang w:eastAsia="zh-CN"/>
        </w:rPr>
        <w:t>%；经营收入</w:t>
      </w:r>
      <w:r>
        <w:rPr>
          <w:rFonts w:hint="eastAsia" w:ascii="仿宋_GB2312" w:hAnsi="仿宋_GB2312" w:eastAsia="仿宋_GB2312" w:cs="仿宋_GB2312"/>
          <w:sz w:val="32"/>
          <w:szCs w:val="32"/>
        </w:rPr>
        <w:t>0</w:t>
      </w:r>
      <w:r>
        <w:rPr>
          <w:rFonts w:hint="eastAsia" w:ascii="仿宋_GB2312" w:hAnsi="仿宋_GB2312" w:eastAsia="仿宋_GB2312" w:cs="仿宋_GB2312"/>
          <w:color w:val="auto"/>
          <w:sz w:val="32"/>
          <w:szCs w:val="32"/>
          <w:highlight w:val="none"/>
          <w:lang w:eastAsia="zh-CN"/>
        </w:rPr>
        <w:t>万元，占</w:t>
      </w:r>
      <w:r>
        <w:rPr>
          <w:rFonts w:hint="eastAsia" w:ascii="仿宋_GB2312" w:hAnsi="仿宋_GB2312" w:eastAsia="仿宋_GB2312" w:cs="仿宋_GB2312"/>
          <w:sz w:val="32"/>
          <w:szCs w:val="32"/>
        </w:rPr>
        <w:t>0</w:t>
      </w:r>
      <w:r>
        <w:rPr>
          <w:rFonts w:hint="eastAsia" w:ascii="仿宋_GB2312" w:hAnsi="仿宋_GB2312" w:eastAsia="仿宋_GB2312" w:cs="仿宋_GB2312"/>
          <w:color w:val="auto"/>
          <w:sz w:val="32"/>
          <w:szCs w:val="32"/>
          <w:highlight w:val="none"/>
          <w:lang w:eastAsia="zh-CN"/>
        </w:rPr>
        <w:t>%；附属单位上缴收入</w:t>
      </w:r>
      <w:r>
        <w:rPr>
          <w:rFonts w:hint="eastAsia" w:ascii="仿宋_GB2312" w:hAnsi="仿宋_GB2312" w:eastAsia="仿宋_GB2312" w:cs="仿宋_GB2312"/>
          <w:sz w:val="32"/>
          <w:szCs w:val="32"/>
        </w:rPr>
        <w:t>0</w:t>
      </w:r>
      <w:r>
        <w:rPr>
          <w:rFonts w:hint="eastAsia" w:ascii="仿宋_GB2312" w:hAnsi="仿宋_GB2312" w:eastAsia="仿宋_GB2312" w:cs="仿宋_GB2312"/>
          <w:color w:val="auto"/>
          <w:sz w:val="32"/>
          <w:szCs w:val="32"/>
          <w:highlight w:val="none"/>
          <w:lang w:eastAsia="zh-CN"/>
        </w:rPr>
        <w:t>万元，占</w:t>
      </w:r>
      <w:r>
        <w:rPr>
          <w:rFonts w:hint="eastAsia" w:ascii="仿宋_GB2312" w:hAnsi="仿宋_GB2312" w:eastAsia="仿宋_GB2312" w:cs="仿宋_GB2312"/>
          <w:sz w:val="32"/>
          <w:szCs w:val="32"/>
        </w:rPr>
        <w:t>0</w:t>
      </w:r>
      <w:r>
        <w:rPr>
          <w:rFonts w:hint="eastAsia" w:ascii="仿宋_GB2312" w:hAnsi="仿宋_GB2312" w:eastAsia="仿宋_GB2312" w:cs="仿宋_GB2312"/>
          <w:color w:val="auto"/>
          <w:sz w:val="32"/>
          <w:szCs w:val="32"/>
          <w:highlight w:val="none"/>
          <w:lang w:eastAsia="zh-CN"/>
        </w:rPr>
        <w:t>%；其他收入</w:t>
      </w:r>
      <w:r>
        <w:rPr>
          <w:rFonts w:hint="eastAsia" w:ascii="仿宋_GB2312" w:hAnsi="仿宋_GB2312" w:eastAsia="仿宋_GB2312" w:cs="仿宋_GB2312"/>
          <w:sz w:val="32"/>
          <w:szCs w:val="32"/>
        </w:rPr>
        <w:t>15.39</w:t>
      </w:r>
      <w:r>
        <w:rPr>
          <w:rFonts w:hint="eastAsia" w:ascii="仿宋_GB2312" w:hAnsi="仿宋_GB2312" w:eastAsia="仿宋_GB2312" w:cs="仿宋_GB2312"/>
          <w:color w:val="auto"/>
          <w:sz w:val="32"/>
          <w:szCs w:val="32"/>
          <w:highlight w:val="none"/>
          <w:lang w:eastAsia="zh-CN"/>
        </w:rPr>
        <w:t>万元，占</w:t>
      </w:r>
      <w:r>
        <w:rPr>
          <w:rFonts w:hint="eastAsia" w:ascii="仿宋_GB2312" w:hAnsi="仿宋_GB2312" w:eastAsia="仿宋_GB2312" w:cs="仿宋_GB2312"/>
          <w:sz w:val="32"/>
          <w:szCs w:val="32"/>
        </w:rPr>
        <w:t>1.47</w:t>
      </w:r>
      <w:r>
        <w:rPr>
          <w:rFonts w:hint="eastAsia" w:ascii="仿宋_GB2312" w:hAnsi="仿宋_GB2312" w:eastAsia="仿宋_GB2312" w:cs="仿宋_GB2312"/>
          <w:color w:val="auto"/>
          <w:sz w:val="32"/>
          <w:szCs w:val="32"/>
          <w:highlight w:val="none"/>
          <w:lang w:eastAsia="zh-CN"/>
        </w:rPr>
        <w:t>%。</w:t>
      </w:r>
      <w:r>
        <w:rPr>
          <w:rFonts w:hint="eastAsia" w:ascii="Times New Roman" w:hAnsi="Times New Roman" w:eastAsia="仿宋_GB2312" w:cs="仿宋_GB2312"/>
          <w:b/>
          <w:bCs/>
          <w:color w:val="auto"/>
          <w:sz w:val="32"/>
          <w:szCs w:val="32"/>
          <w:highlight w:val="none"/>
          <w:lang w:eastAsia="zh-CN"/>
        </w:rPr>
        <w:t>（注：仅罗列本部门涉及的收入）</w:t>
      </w:r>
      <w:bookmarkEnd w:id="23"/>
    </w:p>
    <w:p w14:paraId="2892333B">
      <w:pPr>
        <w:ind w:firstLine="525" w:firstLineChars="250"/>
        <w:jc w:val="center"/>
        <w:rPr>
          <w:rFonts w:hint="eastAsia" w:ascii="Times New Roman" w:hAnsi="Times New Roman" w:eastAsia="仿宋_GB2312" w:cs="仿宋_GB2312"/>
          <w:color w:val="auto"/>
          <w:sz w:val="32"/>
          <w:szCs w:val="32"/>
          <w:highlight w:val="none"/>
          <w:lang w:eastAsia="zh-CN"/>
        </w:rPr>
      </w:pPr>
      <w:r>
        <w:drawing>
          <wp:inline distT="0" distB="0" distL="114300" distR="114300">
            <wp:extent cx="3807460" cy="2086610"/>
            <wp:effectExtent l="5080" t="4445" r="16510" b="23495"/>
            <wp:docPr id="4" name="图表 3"/>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p w14:paraId="3162FDB2">
      <w:pPr>
        <w:ind w:firstLine="800" w:firstLineChars="250"/>
        <w:jc w:val="center"/>
        <w:rPr>
          <w:rFonts w:hint="eastAsia" w:ascii="Times New Roman" w:hAnsi="Times New Roman" w:eastAsia="仿宋_GB2312" w:cs="仿宋_GB2312"/>
          <w:color w:val="auto"/>
          <w:sz w:val="32"/>
          <w:szCs w:val="32"/>
          <w:highlight w:val="none"/>
          <w:lang w:eastAsia="zh-CN"/>
        </w:rPr>
      </w:pPr>
      <w:r>
        <w:rPr>
          <w:rFonts w:hint="eastAsia" w:ascii="Times New Roman" w:hAnsi="Times New Roman" w:eastAsia="仿宋_GB2312" w:cs="仿宋_GB2312"/>
          <w:color w:val="auto"/>
          <w:sz w:val="32"/>
          <w:szCs w:val="32"/>
          <w:highlight w:val="none"/>
          <w:lang w:eastAsia="zh-CN"/>
        </w:rPr>
        <w:t>（图2：收入决算结构图）（饼状图）</w:t>
      </w:r>
    </w:p>
    <w:p w14:paraId="7311916B">
      <w:pPr>
        <w:pStyle w:val="3"/>
        <w:keepNext/>
        <w:keepLines/>
        <w:pageBreakBefore w:val="0"/>
        <w:widowControl w:val="0"/>
        <w:kinsoku/>
        <w:wordWrap/>
        <w:overflowPunct/>
        <w:topLinePunct w:val="0"/>
        <w:autoSpaceDE/>
        <w:autoSpaceDN/>
        <w:bidi w:val="0"/>
        <w:adjustRightInd/>
        <w:snapToGrid/>
        <w:spacing w:before="0" w:after="0" w:line="560" w:lineRule="exact"/>
        <w:ind w:firstLine="640" w:firstLineChars="200"/>
        <w:textAlignment w:val="auto"/>
        <w:rPr>
          <w:rFonts w:hint="eastAsia" w:ascii="黑体" w:hAnsi="黑体" w:eastAsia="黑体" w:cs="黑体"/>
          <w:b w:val="0"/>
          <w:bCs w:val="0"/>
        </w:rPr>
      </w:pPr>
      <w:bookmarkStart w:id="24" w:name="_Toc18348"/>
      <w:bookmarkStart w:id="25" w:name="_Toc15377207"/>
      <w:bookmarkStart w:id="26" w:name="_Toc15396605"/>
      <w:r>
        <w:rPr>
          <w:rFonts w:hint="eastAsia" w:ascii="黑体" w:hAnsi="黑体" w:eastAsia="黑体" w:cs="黑体"/>
          <w:b w:val="0"/>
          <w:bCs w:val="0"/>
          <w:lang w:eastAsia="zh-CN"/>
        </w:rPr>
        <w:t>三、</w:t>
      </w:r>
      <w:r>
        <w:rPr>
          <w:rFonts w:hint="eastAsia" w:ascii="黑体" w:hAnsi="黑体" w:eastAsia="黑体" w:cs="黑体"/>
          <w:b w:val="0"/>
          <w:bCs w:val="0"/>
        </w:rPr>
        <w:t>支出决算情况说明</w:t>
      </w:r>
      <w:bookmarkEnd w:id="24"/>
      <w:bookmarkEnd w:id="25"/>
      <w:bookmarkEnd w:id="26"/>
    </w:p>
    <w:p w14:paraId="481DB790">
      <w:pPr>
        <w:pStyle w:val="28"/>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firstLine="640" w:firstLineChars="200"/>
        <w:jc w:val="both"/>
        <w:textAlignment w:val="auto"/>
        <w:outlineLvl w:val="1"/>
        <w:rPr>
          <w:rFonts w:hint="eastAsia" w:ascii="Times New Roman" w:hAnsi="Times New Roman" w:eastAsia="仿宋_GB2312" w:cs="仿宋_GB2312"/>
          <w:color w:val="auto"/>
          <w:sz w:val="32"/>
          <w:szCs w:val="32"/>
          <w:highlight w:val="none"/>
          <w:lang w:eastAsia="zh-CN"/>
        </w:rPr>
      </w:pPr>
      <w:bookmarkStart w:id="27" w:name="_Toc22944"/>
      <w:r>
        <w:rPr>
          <w:rFonts w:hint="eastAsia" w:ascii="仿宋_GB2312" w:hAnsi="仿宋_GB2312" w:eastAsia="仿宋_GB2312" w:cs="仿宋_GB2312"/>
          <w:color w:val="auto"/>
          <w:sz w:val="32"/>
          <w:szCs w:val="32"/>
          <w:highlight w:val="none"/>
          <w:lang w:eastAsia="zh-CN"/>
        </w:rPr>
        <w:t>2024年度本年支出合计</w:t>
      </w:r>
      <w:r>
        <w:rPr>
          <w:rFonts w:hint="eastAsia" w:ascii="仿宋_GB2312" w:hAnsi="仿宋_GB2312" w:eastAsia="仿宋_GB2312" w:cs="仿宋_GB2312"/>
          <w:sz w:val="32"/>
          <w:szCs w:val="32"/>
        </w:rPr>
        <w:t>1044.02</w:t>
      </w:r>
      <w:r>
        <w:rPr>
          <w:rFonts w:hint="eastAsia" w:ascii="仿宋_GB2312" w:hAnsi="仿宋_GB2312" w:eastAsia="仿宋_GB2312" w:cs="仿宋_GB2312"/>
          <w:color w:val="auto"/>
          <w:sz w:val="32"/>
          <w:szCs w:val="32"/>
          <w:highlight w:val="none"/>
          <w:lang w:eastAsia="zh-CN"/>
        </w:rPr>
        <w:t>万元，其中：基本支出</w:t>
      </w:r>
      <w:r>
        <w:rPr>
          <w:rFonts w:hint="eastAsia" w:ascii="仿宋_GB2312" w:hAnsi="仿宋_GB2312" w:eastAsia="仿宋_GB2312" w:cs="仿宋_GB2312"/>
          <w:sz w:val="32"/>
          <w:szCs w:val="32"/>
        </w:rPr>
        <w:t>509.35</w:t>
      </w:r>
      <w:r>
        <w:rPr>
          <w:rFonts w:hint="eastAsia" w:ascii="仿宋_GB2312" w:hAnsi="仿宋_GB2312" w:eastAsia="仿宋_GB2312" w:cs="仿宋_GB2312"/>
          <w:color w:val="auto"/>
          <w:sz w:val="32"/>
          <w:szCs w:val="32"/>
          <w:highlight w:val="none"/>
          <w:lang w:eastAsia="zh-CN"/>
        </w:rPr>
        <w:t>万元，占</w:t>
      </w:r>
      <w:r>
        <w:rPr>
          <w:rFonts w:hint="eastAsia" w:ascii="仿宋_GB2312" w:hAnsi="仿宋_GB2312" w:eastAsia="仿宋_GB2312" w:cs="仿宋_GB2312"/>
          <w:sz w:val="32"/>
          <w:szCs w:val="32"/>
        </w:rPr>
        <w:t>48.78</w:t>
      </w:r>
      <w:r>
        <w:rPr>
          <w:rFonts w:hint="eastAsia" w:ascii="仿宋_GB2312" w:hAnsi="仿宋_GB2312" w:eastAsia="仿宋_GB2312" w:cs="仿宋_GB2312"/>
          <w:color w:val="auto"/>
          <w:sz w:val="32"/>
          <w:szCs w:val="32"/>
          <w:highlight w:val="none"/>
          <w:lang w:eastAsia="zh-CN"/>
        </w:rPr>
        <w:t>%；项目支出</w:t>
      </w:r>
      <w:r>
        <w:rPr>
          <w:rFonts w:hint="eastAsia" w:ascii="仿宋_GB2312" w:hAnsi="仿宋_GB2312" w:eastAsia="仿宋_GB2312" w:cs="仿宋_GB2312"/>
          <w:sz w:val="32"/>
          <w:szCs w:val="32"/>
        </w:rPr>
        <w:t>534.67</w:t>
      </w:r>
      <w:r>
        <w:rPr>
          <w:rFonts w:hint="eastAsia" w:ascii="仿宋_GB2312" w:hAnsi="仿宋_GB2312" w:eastAsia="仿宋_GB2312" w:cs="仿宋_GB2312"/>
          <w:color w:val="auto"/>
          <w:sz w:val="32"/>
          <w:szCs w:val="32"/>
          <w:highlight w:val="none"/>
          <w:lang w:eastAsia="zh-CN"/>
        </w:rPr>
        <w:t>万元，占</w:t>
      </w:r>
      <w:r>
        <w:rPr>
          <w:rFonts w:hint="eastAsia" w:ascii="仿宋_GB2312" w:hAnsi="仿宋_GB2312" w:eastAsia="仿宋_GB2312" w:cs="仿宋_GB2312"/>
          <w:sz w:val="32"/>
          <w:szCs w:val="32"/>
        </w:rPr>
        <w:t>51.21</w:t>
      </w:r>
      <w:r>
        <w:rPr>
          <w:rFonts w:hint="eastAsia" w:ascii="仿宋_GB2312" w:hAnsi="仿宋_GB2312" w:eastAsia="仿宋_GB2312" w:cs="仿宋_GB2312"/>
          <w:color w:val="auto"/>
          <w:sz w:val="32"/>
          <w:szCs w:val="32"/>
          <w:highlight w:val="none"/>
          <w:lang w:eastAsia="zh-CN"/>
        </w:rPr>
        <w:t>%；上缴上级支出</w:t>
      </w:r>
      <w:r>
        <w:rPr>
          <w:rFonts w:hint="eastAsia" w:ascii="仿宋_GB2312" w:hAnsi="仿宋_GB2312" w:eastAsia="仿宋_GB2312" w:cs="仿宋_GB2312"/>
          <w:sz w:val="32"/>
          <w:szCs w:val="32"/>
        </w:rPr>
        <w:t>0</w:t>
      </w:r>
      <w:r>
        <w:rPr>
          <w:rFonts w:hint="eastAsia" w:ascii="仿宋_GB2312" w:hAnsi="仿宋_GB2312" w:eastAsia="仿宋_GB2312" w:cs="仿宋_GB2312"/>
          <w:color w:val="auto"/>
          <w:sz w:val="32"/>
          <w:szCs w:val="32"/>
          <w:highlight w:val="none"/>
          <w:lang w:eastAsia="zh-CN"/>
        </w:rPr>
        <w:t>万元，占</w:t>
      </w:r>
      <w:r>
        <w:rPr>
          <w:rFonts w:hint="eastAsia" w:ascii="仿宋_GB2312" w:hAnsi="仿宋_GB2312" w:eastAsia="仿宋_GB2312" w:cs="仿宋_GB2312"/>
          <w:sz w:val="32"/>
          <w:szCs w:val="32"/>
        </w:rPr>
        <w:t>0</w:t>
      </w:r>
      <w:r>
        <w:rPr>
          <w:rFonts w:hint="eastAsia" w:ascii="仿宋_GB2312" w:hAnsi="仿宋_GB2312" w:eastAsia="仿宋_GB2312" w:cs="仿宋_GB2312"/>
          <w:color w:val="auto"/>
          <w:sz w:val="32"/>
          <w:szCs w:val="32"/>
          <w:highlight w:val="none"/>
          <w:lang w:eastAsia="zh-CN"/>
        </w:rPr>
        <w:t>%；经营支出</w:t>
      </w:r>
      <w:r>
        <w:rPr>
          <w:rFonts w:hint="eastAsia" w:ascii="仿宋_GB2312" w:hAnsi="仿宋_GB2312" w:eastAsia="仿宋_GB2312" w:cs="仿宋_GB2312"/>
          <w:sz w:val="32"/>
          <w:szCs w:val="32"/>
        </w:rPr>
        <w:t>0</w:t>
      </w:r>
      <w:r>
        <w:rPr>
          <w:rFonts w:hint="eastAsia" w:ascii="仿宋_GB2312" w:hAnsi="仿宋_GB2312" w:eastAsia="仿宋_GB2312" w:cs="仿宋_GB2312"/>
          <w:color w:val="auto"/>
          <w:sz w:val="32"/>
          <w:szCs w:val="32"/>
          <w:highlight w:val="none"/>
          <w:lang w:eastAsia="zh-CN"/>
        </w:rPr>
        <w:t>万元，占</w:t>
      </w:r>
      <w:r>
        <w:rPr>
          <w:rFonts w:hint="eastAsia" w:ascii="仿宋_GB2312" w:hAnsi="仿宋_GB2312" w:eastAsia="仿宋_GB2312" w:cs="仿宋_GB2312"/>
          <w:sz w:val="32"/>
          <w:szCs w:val="32"/>
        </w:rPr>
        <w:t>0</w:t>
      </w:r>
      <w:r>
        <w:rPr>
          <w:rFonts w:hint="eastAsia" w:ascii="仿宋_GB2312" w:hAnsi="仿宋_GB2312" w:eastAsia="仿宋_GB2312" w:cs="仿宋_GB2312"/>
          <w:color w:val="auto"/>
          <w:sz w:val="32"/>
          <w:szCs w:val="32"/>
          <w:highlight w:val="none"/>
          <w:lang w:eastAsia="zh-CN"/>
        </w:rPr>
        <w:t>%；对附属单位补助支出</w:t>
      </w:r>
      <w:r>
        <w:rPr>
          <w:rFonts w:hint="eastAsia" w:ascii="仿宋_GB2312" w:hAnsi="仿宋_GB2312" w:eastAsia="仿宋_GB2312" w:cs="仿宋_GB2312"/>
          <w:sz w:val="32"/>
          <w:szCs w:val="32"/>
        </w:rPr>
        <w:t>0</w:t>
      </w:r>
      <w:r>
        <w:rPr>
          <w:rFonts w:hint="eastAsia" w:ascii="仿宋_GB2312" w:hAnsi="仿宋_GB2312" w:eastAsia="仿宋_GB2312" w:cs="仿宋_GB2312"/>
          <w:color w:val="auto"/>
          <w:sz w:val="32"/>
          <w:szCs w:val="32"/>
          <w:highlight w:val="none"/>
          <w:lang w:eastAsia="zh-CN"/>
        </w:rPr>
        <w:t>万元，占</w:t>
      </w:r>
      <w:r>
        <w:rPr>
          <w:rFonts w:hint="eastAsia" w:ascii="仿宋_GB2312" w:hAnsi="仿宋_GB2312" w:eastAsia="仿宋_GB2312" w:cs="仿宋_GB2312"/>
          <w:sz w:val="32"/>
          <w:szCs w:val="32"/>
        </w:rPr>
        <w:t>0</w:t>
      </w:r>
      <w:r>
        <w:rPr>
          <w:rFonts w:hint="eastAsia" w:ascii="仿宋_GB2312" w:hAnsi="仿宋_GB2312" w:eastAsia="仿宋_GB2312" w:cs="仿宋_GB2312"/>
          <w:color w:val="auto"/>
          <w:sz w:val="32"/>
          <w:szCs w:val="32"/>
          <w:highlight w:val="none"/>
          <w:lang w:eastAsia="zh-CN"/>
        </w:rPr>
        <w:t>%。</w:t>
      </w:r>
      <w:r>
        <w:rPr>
          <w:rFonts w:hint="eastAsia" w:ascii="Times New Roman" w:hAnsi="Times New Roman" w:eastAsia="仿宋_GB2312" w:cs="仿宋_GB2312"/>
          <w:b/>
          <w:bCs/>
          <w:color w:val="auto"/>
          <w:sz w:val="32"/>
          <w:szCs w:val="32"/>
          <w:highlight w:val="none"/>
          <w:lang w:eastAsia="zh-CN"/>
        </w:rPr>
        <w:t>（注：仅罗列本部门涉及的支出）</w:t>
      </w:r>
      <w:bookmarkEnd w:id="27"/>
    </w:p>
    <w:p w14:paraId="60A7F1EC">
      <w:pPr>
        <w:ind w:firstLine="525" w:firstLineChars="250"/>
        <w:jc w:val="center"/>
        <w:rPr>
          <w:rFonts w:hint="eastAsia" w:ascii="Times New Roman" w:hAnsi="Times New Roman" w:eastAsia="仿宋_GB2312" w:cs="仿宋_GB2312"/>
          <w:color w:val="auto"/>
          <w:sz w:val="32"/>
          <w:szCs w:val="32"/>
          <w:highlight w:val="none"/>
          <w:lang w:eastAsia="zh-CN"/>
        </w:rPr>
      </w:pPr>
      <w:r>
        <w:drawing>
          <wp:inline distT="0" distB="0" distL="114300" distR="114300">
            <wp:extent cx="3416300" cy="2400300"/>
            <wp:effectExtent l="4445" t="4445" r="8255" b="14605"/>
            <wp:docPr id="5" name="图表 4"/>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p w14:paraId="3AB709EC">
      <w:pPr>
        <w:ind w:firstLine="800" w:firstLineChars="250"/>
        <w:rPr>
          <w:rFonts w:hint="eastAsia" w:ascii="Times New Roman" w:hAnsi="Times New Roman" w:eastAsia="仿宋_GB2312" w:cs="仿宋_GB2312"/>
          <w:color w:val="auto"/>
          <w:sz w:val="32"/>
          <w:szCs w:val="32"/>
          <w:highlight w:val="none"/>
          <w:lang w:eastAsia="zh-CN"/>
        </w:rPr>
      </w:pPr>
      <w:r>
        <w:rPr>
          <w:rFonts w:hint="eastAsia" w:ascii="Times New Roman" w:hAnsi="Times New Roman" w:eastAsia="仿宋_GB2312" w:cs="仿宋_GB2312"/>
          <w:color w:val="auto"/>
          <w:sz w:val="32"/>
          <w:szCs w:val="32"/>
          <w:highlight w:val="none"/>
          <w:lang w:eastAsia="zh-CN"/>
        </w:rPr>
        <w:t>（图3：支出决算结构图）（饼状图）</w:t>
      </w:r>
    </w:p>
    <w:p w14:paraId="4D7E9409">
      <w:pPr>
        <w:pStyle w:val="3"/>
        <w:keepNext/>
        <w:keepLines/>
        <w:pageBreakBefore w:val="0"/>
        <w:widowControl w:val="0"/>
        <w:kinsoku/>
        <w:wordWrap/>
        <w:overflowPunct/>
        <w:topLinePunct w:val="0"/>
        <w:autoSpaceDE/>
        <w:autoSpaceDN/>
        <w:bidi w:val="0"/>
        <w:adjustRightInd/>
        <w:snapToGrid/>
        <w:spacing w:before="0" w:after="0" w:line="560" w:lineRule="exact"/>
        <w:ind w:firstLine="640" w:firstLineChars="200"/>
        <w:textAlignment w:val="auto"/>
        <w:rPr>
          <w:rFonts w:hint="eastAsia" w:ascii="黑体" w:hAnsi="黑体" w:eastAsia="黑体" w:cs="黑体"/>
          <w:b w:val="0"/>
          <w:bCs w:val="0"/>
          <w:lang w:eastAsia="zh-CN"/>
        </w:rPr>
      </w:pPr>
      <w:bookmarkStart w:id="28" w:name="_Toc12090"/>
      <w:bookmarkStart w:id="29" w:name="_Toc15396606"/>
      <w:bookmarkStart w:id="30" w:name="_Toc15377208"/>
      <w:r>
        <w:rPr>
          <w:rFonts w:hint="eastAsia" w:ascii="黑体" w:hAnsi="黑体" w:eastAsia="黑体" w:cs="黑体"/>
          <w:b w:val="0"/>
          <w:bCs w:val="0"/>
          <w:lang w:eastAsia="zh-CN"/>
        </w:rPr>
        <w:t>四、财政拨款收入支出决算总体情况说明</w:t>
      </w:r>
      <w:bookmarkEnd w:id="28"/>
      <w:bookmarkEnd w:id="29"/>
      <w:bookmarkEnd w:id="30"/>
    </w:p>
    <w:p w14:paraId="064E3CF5">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jc w:val="both"/>
        <w:textAlignment w:val="auto"/>
        <w:rPr>
          <w:rFonts w:hint="eastAsia" w:ascii="仿宋_GB2312" w:hAnsi="仿宋_GB2312" w:eastAsia="仿宋_GB2312" w:cs="仿宋_GB2312"/>
          <w:color w:val="auto"/>
          <w:kern w:val="2"/>
          <w:sz w:val="32"/>
          <w:szCs w:val="32"/>
          <w:highlight w:val="none"/>
          <w:lang w:val="en-US" w:eastAsia="zh-CN" w:bidi="ar-SA"/>
        </w:rPr>
      </w:pPr>
      <w:r>
        <w:rPr>
          <w:rFonts w:hint="eastAsia" w:ascii="仿宋_GB2312" w:hAnsi="仿宋_GB2312" w:eastAsia="仿宋_GB2312" w:cs="仿宋_GB2312"/>
          <w:color w:val="auto"/>
          <w:kern w:val="2"/>
          <w:sz w:val="32"/>
          <w:szCs w:val="32"/>
          <w:highlight w:val="none"/>
          <w:lang w:val="en-US" w:eastAsia="zh-CN" w:bidi="ar-SA"/>
        </w:rPr>
        <w:t>2024年度财政拨款收入、支出总计均为</w:t>
      </w:r>
      <w:r>
        <w:rPr>
          <w:rFonts w:hint="eastAsia" w:ascii="仿宋_GB2312" w:hAnsi="仿宋_GB2312" w:eastAsia="仿宋_GB2312" w:cs="仿宋_GB2312"/>
          <w:sz w:val="32"/>
          <w:szCs w:val="32"/>
        </w:rPr>
        <w:t>1028.63</w:t>
      </w:r>
      <w:r>
        <w:rPr>
          <w:rFonts w:hint="eastAsia" w:ascii="仿宋_GB2312" w:hAnsi="仿宋_GB2312" w:eastAsia="仿宋_GB2312" w:cs="仿宋_GB2312"/>
          <w:color w:val="auto"/>
          <w:kern w:val="2"/>
          <w:sz w:val="32"/>
          <w:szCs w:val="32"/>
          <w:highlight w:val="none"/>
          <w:lang w:val="en-US" w:eastAsia="zh-CN" w:bidi="ar-SA"/>
        </w:rPr>
        <w:t>万元。与2023年度相比，财政拨款收入总计、支出总计各增加94.34万元，增长10.10%。主要变动原因是</w:t>
      </w:r>
      <w:r>
        <w:rPr>
          <w:rFonts w:hint="eastAsia" w:ascii="仿宋_GB2312" w:hAnsi="仿宋_GB2312" w:eastAsia="仿宋_GB2312" w:cs="仿宋_GB2312"/>
          <w:sz w:val="32"/>
          <w:szCs w:val="32"/>
        </w:rPr>
        <w:t>项目资金增加。</w:t>
      </w:r>
    </w:p>
    <w:p w14:paraId="0551DC5E">
      <w:pPr>
        <w:spacing w:line="600" w:lineRule="exact"/>
        <w:ind w:firstLine="420" w:firstLineChars="200"/>
        <w:rPr>
          <w:rFonts w:hint="eastAsia" w:ascii="Times New Roman" w:hAnsi="Times New Roman" w:eastAsia="仿宋_GB2312" w:cs="仿宋_GB2312"/>
          <w:color w:val="auto"/>
          <w:kern w:val="2"/>
          <w:sz w:val="32"/>
          <w:szCs w:val="32"/>
          <w:highlight w:val="none"/>
          <w:lang w:val="en-US" w:eastAsia="zh-CN" w:bidi="ar-SA"/>
        </w:rPr>
      </w:pPr>
      <w:r>
        <w:drawing>
          <wp:anchor distT="0" distB="0" distL="114300" distR="114300" simplePos="0" relativeHeight="251660288" behindDoc="1" locked="0" layoutInCell="1" allowOverlap="1">
            <wp:simplePos x="0" y="0"/>
            <wp:positionH relativeFrom="column">
              <wp:posOffset>422910</wp:posOffset>
            </wp:positionH>
            <wp:positionV relativeFrom="paragraph">
              <wp:posOffset>252730</wp:posOffset>
            </wp:positionV>
            <wp:extent cx="4340860" cy="2590165"/>
            <wp:effectExtent l="4445" t="4445" r="17145" b="15240"/>
            <wp:wrapTight wrapText="bothSides">
              <wp:wrapPolygon>
                <wp:start x="-22" y="-37"/>
                <wp:lineTo x="-22" y="21409"/>
                <wp:lineTo x="21496" y="21409"/>
                <wp:lineTo x="21496" y="-37"/>
                <wp:lineTo x="-22" y="-37"/>
              </wp:wrapPolygon>
            </wp:wrapTight>
            <wp:docPr id="6" name="图表 5"/>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anchor>
        </w:drawing>
      </w:r>
    </w:p>
    <w:p w14:paraId="35C19EBA">
      <w:pPr>
        <w:spacing w:line="600" w:lineRule="exact"/>
        <w:ind w:firstLine="640" w:firstLineChars="200"/>
        <w:rPr>
          <w:rFonts w:hint="eastAsia" w:ascii="Times New Roman" w:hAnsi="Times New Roman" w:eastAsia="仿宋_GB2312" w:cs="仿宋_GB2312"/>
          <w:color w:val="auto"/>
          <w:kern w:val="2"/>
          <w:sz w:val="32"/>
          <w:szCs w:val="32"/>
          <w:highlight w:val="none"/>
          <w:lang w:val="en-US" w:eastAsia="zh-CN" w:bidi="ar-SA"/>
        </w:rPr>
      </w:pPr>
    </w:p>
    <w:p w14:paraId="3F8F47A1">
      <w:pPr>
        <w:spacing w:line="600" w:lineRule="exact"/>
        <w:ind w:firstLine="640" w:firstLineChars="200"/>
        <w:rPr>
          <w:rFonts w:hint="eastAsia" w:ascii="Times New Roman" w:hAnsi="Times New Roman" w:eastAsia="仿宋_GB2312" w:cs="仿宋_GB2312"/>
          <w:color w:val="auto"/>
          <w:kern w:val="2"/>
          <w:sz w:val="32"/>
          <w:szCs w:val="32"/>
          <w:highlight w:val="none"/>
          <w:lang w:val="en-US" w:eastAsia="zh-CN" w:bidi="ar-SA"/>
        </w:rPr>
      </w:pPr>
    </w:p>
    <w:p w14:paraId="7145F4C4">
      <w:pPr>
        <w:spacing w:line="600" w:lineRule="exact"/>
        <w:ind w:firstLine="640" w:firstLineChars="200"/>
        <w:rPr>
          <w:rFonts w:hint="eastAsia" w:ascii="Times New Roman" w:hAnsi="Times New Roman" w:eastAsia="仿宋_GB2312" w:cs="仿宋_GB2312"/>
          <w:color w:val="auto"/>
          <w:kern w:val="2"/>
          <w:sz w:val="32"/>
          <w:szCs w:val="32"/>
          <w:highlight w:val="none"/>
          <w:lang w:val="en-US" w:eastAsia="zh-CN" w:bidi="ar-SA"/>
        </w:rPr>
      </w:pPr>
    </w:p>
    <w:p w14:paraId="49F0F805">
      <w:pPr>
        <w:spacing w:line="600" w:lineRule="exact"/>
        <w:ind w:firstLine="640" w:firstLineChars="200"/>
        <w:rPr>
          <w:rFonts w:hint="eastAsia" w:ascii="Times New Roman" w:hAnsi="Times New Roman" w:eastAsia="仿宋_GB2312" w:cs="仿宋_GB2312"/>
          <w:color w:val="auto"/>
          <w:kern w:val="2"/>
          <w:sz w:val="32"/>
          <w:szCs w:val="32"/>
          <w:highlight w:val="none"/>
          <w:lang w:val="en-US" w:eastAsia="zh-CN" w:bidi="ar-SA"/>
        </w:rPr>
      </w:pPr>
    </w:p>
    <w:p w14:paraId="6502E4A3">
      <w:pPr>
        <w:spacing w:line="600" w:lineRule="exact"/>
        <w:ind w:firstLine="640" w:firstLineChars="200"/>
        <w:rPr>
          <w:rFonts w:hint="eastAsia" w:ascii="Times New Roman" w:hAnsi="Times New Roman" w:eastAsia="仿宋_GB2312" w:cs="仿宋_GB2312"/>
          <w:color w:val="auto"/>
          <w:kern w:val="2"/>
          <w:sz w:val="32"/>
          <w:szCs w:val="32"/>
          <w:highlight w:val="none"/>
          <w:lang w:val="en-US" w:eastAsia="zh-CN" w:bidi="ar-SA"/>
        </w:rPr>
      </w:pPr>
    </w:p>
    <w:p w14:paraId="0F009E52">
      <w:pPr>
        <w:spacing w:line="600" w:lineRule="exact"/>
        <w:ind w:firstLine="640" w:firstLineChars="200"/>
        <w:rPr>
          <w:rFonts w:hint="eastAsia" w:ascii="Times New Roman" w:hAnsi="Times New Roman" w:eastAsia="仿宋_GB2312" w:cs="仿宋_GB2312"/>
          <w:color w:val="auto"/>
          <w:kern w:val="2"/>
          <w:sz w:val="32"/>
          <w:szCs w:val="32"/>
          <w:highlight w:val="none"/>
          <w:lang w:val="en-US" w:eastAsia="zh-CN" w:bidi="ar-SA"/>
        </w:rPr>
      </w:pPr>
    </w:p>
    <w:p w14:paraId="7DD83A6E">
      <w:pPr>
        <w:spacing w:line="600" w:lineRule="exact"/>
        <w:ind w:firstLine="640" w:firstLineChars="200"/>
        <w:rPr>
          <w:rFonts w:hint="eastAsia" w:ascii="Times New Roman" w:hAnsi="Times New Roman" w:eastAsia="仿宋_GB2312" w:cs="仿宋_GB2312"/>
          <w:color w:val="auto"/>
          <w:kern w:val="2"/>
          <w:sz w:val="32"/>
          <w:szCs w:val="32"/>
          <w:highlight w:val="none"/>
          <w:lang w:val="en-US" w:eastAsia="zh-CN" w:bidi="ar-SA"/>
        </w:rPr>
      </w:pPr>
      <w:r>
        <w:rPr>
          <w:rFonts w:hint="eastAsia" w:ascii="Times New Roman" w:hAnsi="Times New Roman" w:eastAsia="仿宋_GB2312" w:cs="仿宋_GB2312"/>
          <w:color w:val="auto"/>
          <w:kern w:val="2"/>
          <w:sz w:val="32"/>
          <w:szCs w:val="32"/>
          <w:highlight w:val="none"/>
          <w:lang w:val="en-US" w:eastAsia="zh-CN" w:bidi="ar-SA"/>
        </w:rPr>
        <w:t>（图4：财政拨款收、支决算总计变动情况）（柱状图）</w:t>
      </w:r>
    </w:p>
    <w:p w14:paraId="5097ACF9">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jc w:val="both"/>
        <w:textAlignment w:val="auto"/>
        <w:outlineLvl w:val="1"/>
        <w:rPr>
          <w:rStyle w:val="30"/>
          <w:rFonts w:ascii="Times New Roman" w:hAnsi="Times New Roman" w:eastAsia="黑体"/>
          <w:b w:val="0"/>
          <w:color w:val="auto"/>
          <w:highlight w:val="none"/>
        </w:rPr>
      </w:pPr>
      <w:bookmarkStart w:id="31" w:name="_Toc14907"/>
      <w:bookmarkStart w:id="32" w:name="_Toc15377209"/>
      <w:bookmarkStart w:id="33" w:name="_Toc15396607"/>
      <w:r>
        <w:rPr>
          <w:rFonts w:hint="eastAsia" w:ascii="Times New Roman" w:hAnsi="Times New Roman" w:eastAsia="黑体"/>
          <w:color w:val="auto"/>
          <w:sz w:val="32"/>
          <w:szCs w:val="32"/>
          <w:highlight w:val="none"/>
        </w:rPr>
        <w:t>五、</w:t>
      </w:r>
      <w:r>
        <w:rPr>
          <w:rFonts w:hint="eastAsia" w:ascii="Times New Roman" w:hAnsi="Times New Roman" w:eastAsia="黑体"/>
          <w:b/>
          <w:color w:val="auto"/>
          <w:sz w:val="32"/>
          <w:szCs w:val="32"/>
          <w:highlight w:val="none"/>
        </w:rPr>
        <w:t>一</w:t>
      </w:r>
      <w:r>
        <w:rPr>
          <w:rStyle w:val="30"/>
          <w:rFonts w:hint="eastAsia" w:ascii="Times New Roman" w:hAnsi="Times New Roman" w:eastAsia="黑体"/>
          <w:b w:val="0"/>
          <w:color w:val="auto"/>
          <w:highlight w:val="none"/>
        </w:rPr>
        <w:t>般公共预算财政拨款支出决算情况说明</w:t>
      </w:r>
      <w:bookmarkEnd w:id="31"/>
      <w:bookmarkEnd w:id="32"/>
      <w:bookmarkEnd w:id="33"/>
    </w:p>
    <w:p w14:paraId="67B5851E">
      <w:pPr>
        <w:keepNext w:val="0"/>
        <w:keepLines w:val="0"/>
        <w:pageBreakBefore w:val="0"/>
        <w:widowControl w:val="0"/>
        <w:kinsoku/>
        <w:wordWrap/>
        <w:overflowPunct/>
        <w:topLinePunct w:val="0"/>
        <w:autoSpaceDE/>
        <w:autoSpaceDN/>
        <w:bidi w:val="0"/>
        <w:adjustRightInd/>
        <w:snapToGrid/>
        <w:spacing w:line="560" w:lineRule="exact"/>
        <w:ind w:left="0" w:firstLine="643" w:firstLineChars="200"/>
        <w:jc w:val="both"/>
        <w:textAlignment w:val="auto"/>
        <w:outlineLvl w:val="2"/>
        <w:rPr>
          <w:rFonts w:hint="eastAsia" w:ascii="Times New Roman" w:hAnsi="Times New Roman" w:eastAsia="楷体_GB2312" w:cs="楷体_GB2312"/>
          <w:b/>
          <w:color w:val="auto"/>
          <w:sz w:val="32"/>
          <w:szCs w:val="32"/>
          <w:highlight w:val="none"/>
        </w:rPr>
      </w:pPr>
      <w:bookmarkStart w:id="34" w:name="_Toc15377210"/>
      <w:r>
        <w:rPr>
          <w:rFonts w:hint="eastAsia" w:ascii="Times New Roman" w:hAnsi="Times New Roman" w:eastAsia="楷体_GB2312" w:cs="楷体_GB2312"/>
          <w:b/>
          <w:color w:val="auto"/>
          <w:sz w:val="32"/>
          <w:szCs w:val="32"/>
          <w:highlight w:val="none"/>
        </w:rPr>
        <w:t>（一）一般公共预算财政拨款支出决算总体情况</w:t>
      </w:r>
      <w:bookmarkEnd w:id="34"/>
    </w:p>
    <w:p w14:paraId="20A209B2">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jc w:val="both"/>
        <w:textAlignment w:val="auto"/>
        <w:rPr>
          <w:rFonts w:hint="eastAsia" w:ascii="Times New Roman" w:hAnsi="Times New Roman" w:eastAsia="仿宋_GB2312" w:cs="仿宋_GB2312"/>
          <w:color w:val="auto"/>
          <w:kern w:val="2"/>
          <w:sz w:val="32"/>
          <w:szCs w:val="32"/>
          <w:highlight w:val="none"/>
          <w:lang w:val="en-US" w:eastAsia="zh-CN" w:bidi="ar-SA"/>
        </w:rPr>
      </w:pPr>
      <w:r>
        <w:rPr>
          <w:rFonts w:hint="eastAsia" w:ascii="仿宋_GB2312" w:hAnsi="仿宋_GB2312" w:eastAsia="仿宋_GB2312" w:cs="仿宋_GB2312"/>
          <w:color w:val="auto"/>
          <w:kern w:val="2"/>
          <w:sz w:val="32"/>
          <w:szCs w:val="32"/>
          <w:highlight w:val="none"/>
          <w:lang w:val="en-US" w:eastAsia="zh-CN" w:bidi="ar-SA"/>
        </w:rPr>
        <w:t>2024年度一般公共预算财政拨款支出</w:t>
      </w:r>
      <w:r>
        <w:rPr>
          <w:rFonts w:hint="eastAsia" w:ascii="仿宋_GB2312" w:hAnsi="仿宋_GB2312" w:eastAsia="仿宋_GB2312" w:cs="仿宋_GB2312"/>
          <w:sz w:val="32"/>
          <w:szCs w:val="32"/>
        </w:rPr>
        <w:t>983.9</w:t>
      </w:r>
      <w:r>
        <w:rPr>
          <w:rFonts w:hint="eastAsia" w:ascii="仿宋_GB2312" w:hAnsi="仿宋_GB2312" w:eastAsia="仿宋_GB2312" w:cs="仿宋_GB2312"/>
          <w:color w:val="auto"/>
          <w:kern w:val="2"/>
          <w:sz w:val="32"/>
          <w:szCs w:val="32"/>
          <w:highlight w:val="none"/>
          <w:lang w:val="en-US" w:eastAsia="zh-CN" w:bidi="ar-SA"/>
        </w:rPr>
        <w:t>万元，占本年支出合计的</w:t>
      </w:r>
      <w:r>
        <w:rPr>
          <w:rFonts w:hint="eastAsia" w:ascii="仿宋_GB2312" w:hAnsi="仿宋_GB2312" w:eastAsia="仿宋_GB2312" w:cs="仿宋_GB2312"/>
          <w:sz w:val="32"/>
          <w:szCs w:val="32"/>
        </w:rPr>
        <w:t>94.24</w:t>
      </w:r>
      <w:r>
        <w:rPr>
          <w:rFonts w:hint="eastAsia" w:ascii="仿宋_GB2312" w:hAnsi="仿宋_GB2312" w:eastAsia="仿宋_GB2312" w:cs="仿宋_GB2312"/>
          <w:color w:val="auto"/>
          <w:kern w:val="2"/>
          <w:sz w:val="32"/>
          <w:szCs w:val="32"/>
          <w:highlight w:val="none"/>
          <w:lang w:val="en-US" w:eastAsia="zh-CN" w:bidi="ar-SA"/>
        </w:rPr>
        <w:t>%。与2023年度相比，一般公共预算财政拨款支出增加57.61万元，增长6.22%。主要变动原因是</w:t>
      </w:r>
      <w:r>
        <w:rPr>
          <w:rFonts w:hint="eastAsia" w:ascii="仿宋" w:hAnsi="仿宋" w:eastAsia="仿宋"/>
          <w:sz w:val="32"/>
          <w:szCs w:val="32"/>
        </w:rPr>
        <w:t>项目资金增加。</w:t>
      </w:r>
    </w:p>
    <w:p w14:paraId="400948AF">
      <w:pPr>
        <w:pStyle w:val="5"/>
        <w:rPr>
          <w:rFonts w:hint="eastAsia" w:ascii="Times New Roman" w:hAnsi="Times New Roman" w:eastAsia="仿宋_GB2312" w:cs="仿宋_GB2312"/>
          <w:color w:val="auto"/>
          <w:kern w:val="2"/>
          <w:sz w:val="32"/>
          <w:szCs w:val="32"/>
          <w:highlight w:val="none"/>
          <w:lang w:val="en-US" w:eastAsia="zh-CN" w:bidi="ar-SA"/>
        </w:rPr>
      </w:pPr>
      <w:r>
        <w:rPr>
          <w:rFonts w:hint="eastAsia"/>
          <w:lang w:val="en-US" w:eastAsia="zh-CN"/>
        </w:rPr>
        <w:t xml:space="preserve">      </w:t>
      </w:r>
      <w:r>
        <w:drawing>
          <wp:inline distT="0" distB="0" distL="114300" distR="114300">
            <wp:extent cx="4255770" cy="1801495"/>
            <wp:effectExtent l="4445" t="4445" r="6985" b="22860"/>
            <wp:docPr id="7" name="图表 6"/>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inline>
        </w:drawing>
      </w:r>
      <w:r>
        <w:rPr>
          <w:rFonts w:hint="eastAsia"/>
          <w:lang w:val="en-US" w:eastAsia="zh-CN"/>
        </w:rPr>
        <w:t xml:space="preserve">  </w:t>
      </w:r>
      <w:r>
        <w:rPr>
          <w:rFonts w:hint="eastAsia" w:ascii="Times New Roman" w:hAnsi="Times New Roman" w:eastAsia="仿宋_GB2312" w:cs="仿宋_GB2312"/>
          <w:color w:val="auto"/>
          <w:kern w:val="2"/>
          <w:sz w:val="32"/>
          <w:szCs w:val="32"/>
          <w:highlight w:val="none"/>
          <w:lang w:val="en-US" w:eastAsia="zh-CN" w:bidi="ar-SA"/>
        </w:rPr>
        <w:t>（图5：一般公共预算财政拨款支出决算变动情况）（柱状图）</w:t>
      </w:r>
    </w:p>
    <w:p w14:paraId="60B9ED4E">
      <w:pPr>
        <w:keepNext w:val="0"/>
        <w:keepLines w:val="0"/>
        <w:pageBreakBefore w:val="0"/>
        <w:widowControl w:val="0"/>
        <w:kinsoku/>
        <w:wordWrap/>
        <w:overflowPunct/>
        <w:topLinePunct w:val="0"/>
        <w:autoSpaceDE/>
        <w:autoSpaceDN/>
        <w:bidi w:val="0"/>
        <w:adjustRightInd/>
        <w:snapToGrid/>
        <w:spacing w:line="560" w:lineRule="exact"/>
        <w:ind w:left="0" w:firstLine="643" w:firstLineChars="200"/>
        <w:jc w:val="both"/>
        <w:textAlignment w:val="auto"/>
        <w:outlineLvl w:val="2"/>
        <w:rPr>
          <w:rFonts w:hint="eastAsia" w:ascii="Times New Roman" w:hAnsi="Times New Roman" w:eastAsia="楷体_GB2312" w:cs="楷体_GB2312"/>
          <w:b/>
          <w:color w:val="auto"/>
          <w:sz w:val="32"/>
          <w:szCs w:val="32"/>
          <w:highlight w:val="none"/>
        </w:rPr>
      </w:pPr>
      <w:bookmarkStart w:id="35" w:name="_Toc15377211"/>
      <w:r>
        <w:rPr>
          <w:rFonts w:hint="eastAsia" w:ascii="Times New Roman" w:hAnsi="Times New Roman" w:eastAsia="楷体_GB2312" w:cs="楷体_GB2312"/>
          <w:b/>
          <w:color w:val="auto"/>
          <w:sz w:val="32"/>
          <w:szCs w:val="32"/>
          <w:highlight w:val="none"/>
        </w:rPr>
        <w:t>（二）一般公共预算财政拨款支出决算结构情况</w:t>
      </w:r>
      <w:bookmarkEnd w:id="35"/>
    </w:p>
    <w:p w14:paraId="5EEE1D83">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jc w:val="both"/>
        <w:textAlignment w:val="auto"/>
        <w:rPr>
          <w:rFonts w:hint="eastAsia" w:ascii="Times New Roman" w:hAnsi="Times New Roman" w:eastAsia="仿宋_GB2312" w:cs="仿宋_GB2312"/>
          <w:b/>
          <w:bCs/>
          <w:color w:val="auto"/>
          <w:kern w:val="2"/>
          <w:sz w:val="32"/>
          <w:szCs w:val="32"/>
          <w:highlight w:val="none"/>
          <w:lang w:val="en-US" w:eastAsia="zh-CN" w:bidi="ar-SA"/>
        </w:rPr>
      </w:pPr>
      <w:r>
        <w:rPr>
          <w:rFonts w:hint="eastAsia" w:ascii="Times New Roman" w:hAnsi="Times New Roman" w:eastAsia="仿宋_GB2312" w:cs="仿宋_GB2312"/>
          <w:color w:val="auto"/>
          <w:kern w:val="2"/>
          <w:sz w:val="32"/>
          <w:szCs w:val="32"/>
          <w:highlight w:val="none"/>
          <w:lang w:val="en-US" w:eastAsia="zh-CN" w:bidi="ar-SA"/>
        </w:rPr>
        <w:t>2024年度一般公共预算财政拨款支出</w:t>
      </w:r>
      <w:r>
        <w:rPr>
          <w:rFonts w:hint="eastAsia" w:ascii="仿宋_GB2312" w:hAnsi="仿宋_GB2312" w:eastAsia="仿宋_GB2312" w:cs="仿宋_GB2312"/>
          <w:sz w:val="32"/>
          <w:szCs w:val="32"/>
        </w:rPr>
        <w:t>983.9</w:t>
      </w:r>
      <w:r>
        <w:rPr>
          <w:rFonts w:hint="eastAsia" w:ascii="仿宋_GB2312" w:hAnsi="仿宋_GB2312" w:eastAsia="仿宋_GB2312" w:cs="仿宋_GB2312"/>
          <w:color w:val="auto"/>
          <w:kern w:val="2"/>
          <w:sz w:val="32"/>
          <w:szCs w:val="32"/>
          <w:highlight w:val="none"/>
          <w:lang w:val="en-US" w:eastAsia="zh-CN" w:bidi="ar-SA"/>
        </w:rPr>
        <w:t>万元</w:t>
      </w:r>
      <w:r>
        <w:rPr>
          <w:rFonts w:hint="eastAsia" w:ascii="Times New Roman" w:hAnsi="Times New Roman" w:eastAsia="仿宋_GB2312" w:cs="仿宋_GB2312"/>
          <w:color w:val="auto"/>
          <w:kern w:val="2"/>
          <w:sz w:val="32"/>
          <w:szCs w:val="32"/>
          <w:highlight w:val="none"/>
          <w:lang w:val="en-US" w:eastAsia="zh-CN" w:bidi="ar-SA"/>
        </w:rPr>
        <w:t>，主要用于以下方面</w:t>
      </w:r>
      <w:r>
        <w:rPr>
          <w:rFonts w:hint="eastAsia" w:eastAsia="仿宋_GB2312" w:cs="仿宋_GB2312"/>
          <w:color w:val="auto"/>
          <w:kern w:val="2"/>
          <w:sz w:val="32"/>
          <w:szCs w:val="32"/>
          <w:highlight w:val="none"/>
          <w:lang w:val="en-US" w:eastAsia="zh-CN" w:bidi="ar-SA"/>
        </w:rPr>
        <w:t>：</w:t>
      </w:r>
      <w:r>
        <w:rPr>
          <w:rFonts w:hint="eastAsia" w:ascii="Times New Roman" w:hAnsi="Times New Roman" w:eastAsia="仿宋_GB2312" w:cs="仿宋_GB2312"/>
          <w:color w:val="auto"/>
          <w:kern w:val="2"/>
          <w:sz w:val="32"/>
          <w:szCs w:val="32"/>
          <w:highlight w:val="none"/>
          <w:lang w:val="en-US" w:eastAsia="zh-CN" w:bidi="ar-SA"/>
        </w:rPr>
        <w:t>文化旅游体育与传媒支出</w:t>
      </w:r>
      <w:r>
        <w:rPr>
          <w:rFonts w:hint="eastAsia" w:eastAsia="仿宋_GB2312" w:cs="仿宋_GB2312"/>
          <w:color w:val="auto"/>
          <w:kern w:val="2"/>
          <w:sz w:val="32"/>
          <w:szCs w:val="32"/>
          <w:highlight w:val="none"/>
          <w:lang w:val="en-US" w:eastAsia="zh-CN" w:bidi="ar-SA"/>
        </w:rPr>
        <w:t>856.76</w:t>
      </w:r>
      <w:r>
        <w:rPr>
          <w:rFonts w:hint="eastAsia" w:ascii="Times New Roman" w:hAnsi="Times New Roman" w:eastAsia="仿宋_GB2312" w:cs="仿宋_GB2312"/>
          <w:color w:val="auto"/>
          <w:kern w:val="2"/>
          <w:sz w:val="32"/>
          <w:szCs w:val="32"/>
          <w:highlight w:val="none"/>
          <w:lang w:val="en-US" w:eastAsia="zh-CN" w:bidi="ar-SA"/>
        </w:rPr>
        <w:t>万元，占</w:t>
      </w:r>
      <w:r>
        <w:rPr>
          <w:rFonts w:hint="eastAsia" w:eastAsia="仿宋_GB2312" w:cs="仿宋_GB2312"/>
          <w:color w:val="auto"/>
          <w:kern w:val="2"/>
          <w:sz w:val="32"/>
          <w:szCs w:val="32"/>
          <w:highlight w:val="none"/>
          <w:lang w:val="en-US" w:eastAsia="zh-CN" w:bidi="ar-SA"/>
        </w:rPr>
        <w:t>87.08</w:t>
      </w:r>
      <w:r>
        <w:rPr>
          <w:rFonts w:hint="eastAsia" w:ascii="Times New Roman" w:hAnsi="Times New Roman" w:eastAsia="仿宋_GB2312" w:cs="仿宋_GB2312"/>
          <w:color w:val="auto"/>
          <w:kern w:val="2"/>
          <w:sz w:val="32"/>
          <w:szCs w:val="32"/>
          <w:highlight w:val="none"/>
          <w:lang w:val="en-US" w:eastAsia="zh-CN" w:bidi="ar-SA"/>
        </w:rPr>
        <w:t>%；社会保障和就业支出</w:t>
      </w:r>
      <w:r>
        <w:rPr>
          <w:rFonts w:hint="eastAsia" w:eastAsia="仿宋_GB2312" w:cs="仿宋_GB2312"/>
          <w:color w:val="auto"/>
          <w:kern w:val="2"/>
          <w:sz w:val="32"/>
          <w:szCs w:val="32"/>
          <w:highlight w:val="none"/>
          <w:lang w:val="en-US" w:eastAsia="zh-CN" w:bidi="ar-SA"/>
        </w:rPr>
        <w:t>74.89</w:t>
      </w:r>
      <w:r>
        <w:rPr>
          <w:rFonts w:hint="eastAsia" w:ascii="Times New Roman" w:hAnsi="Times New Roman" w:eastAsia="仿宋_GB2312" w:cs="仿宋_GB2312"/>
          <w:color w:val="auto"/>
          <w:kern w:val="2"/>
          <w:sz w:val="32"/>
          <w:szCs w:val="32"/>
          <w:highlight w:val="none"/>
          <w:lang w:val="en-US" w:eastAsia="zh-CN" w:bidi="ar-SA"/>
        </w:rPr>
        <w:t>万元，占</w:t>
      </w:r>
      <w:r>
        <w:rPr>
          <w:rFonts w:hint="eastAsia" w:eastAsia="仿宋_GB2312" w:cs="仿宋_GB2312"/>
          <w:color w:val="auto"/>
          <w:kern w:val="2"/>
          <w:sz w:val="32"/>
          <w:szCs w:val="32"/>
          <w:highlight w:val="none"/>
          <w:lang w:val="en-US" w:eastAsia="zh-CN" w:bidi="ar-SA"/>
        </w:rPr>
        <w:t>7.61</w:t>
      </w:r>
      <w:r>
        <w:rPr>
          <w:rFonts w:hint="eastAsia" w:ascii="Times New Roman" w:hAnsi="Times New Roman" w:eastAsia="仿宋_GB2312" w:cs="仿宋_GB2312"/>
          <w:color w:val="auto"/>
          <w:kern w:val="2"/>
          <w:sz w:val="32"/>
          <w:szCs w:val="32"/>
          <w:highlight w:val="none"/>
          <w:lang w:val="en-US" w:eastAsia="zh-CN" w:bidi="ar-SA"/>
        </w:rPr>
        <w:t>%；卫生健康支出</w:t>
      </w:r>
      <w:r>
        <w:rPr>
          <w:rFonts w:hint="eastAsia" w:eastAsia="仿宋_GB2312" w:cs="仿宋_GB2312"/>
          <w:color w:val="auto"/>
          <w:kern w:val="2"/>
          <w:sz w:val="32"/>
          <w:szCs w:val="32"/>
          <w:highlight w:val="none"/>
          <w:lang w:val="en-US" w:eastAsia="zh-CN" w:bidi="ar-SA"/>
        </w:rPr>
        <w:t>14.57</w:t>
      </w:r>
      <w:r>
        <w:rPr>
          <w:rFonts w:hint="eastAsia" w:ascii="Times New Roman" w:hAnsi="Times New Roman" w:eastAsia="仿宋_GB2312" w:cs="仿宋_GB2312"/>
          <w:color w:val="auto"/>
          <w:kern w:val="2"/>
          <w:sz w:val="32"/>
          <w:szCs w:val="32"/>
          <w:highlight w:val="none"/>
          <w:lang w:val="en-US" w:eastAsia="zh-CN" w:bidi="ar-SA"/>
        </w:rPr>
        <w:t>万元，占</w:t>
      </w:r>
      <w:r>
        <w:rPr>
          <w:rFonts w:hint="eastAsia" w:eastAsia="仿宋_GB2312" w:cs="仿宋_GB2312"/>
          <w:color w:val="auto"/>
          <w:kern w:val="2"/>
          <w:sz w:val="32"/>
          <w:szCs w:val="32"/>
          <w:highlight w:val="none"/>
          <w:lang w:val="en-US" w:eastAsia="zh-CN" w:bidi="ar-SA"/>
        </w:rPr>
        <w:t>1.48</w:t>
      </w:r>
      <w:r>
        <w:rPr>
          <w:rFonts w:hint="eastAsia" w:ascii="Times New Roman" w:hAnsi="Times New Roman" w:eastAsia="仿宋_GB2312" w:cs="仿宋_GB2312"/>
          <w:color w:val="auto"/>
          <w:kern w:val="2"/>
          <w:sz w:val="32"/>
          <w:szCs w:val="32"/>
          <w:highlight w:val="none"/>
          <w:lang w:val="en-US" w:eastAsia="zh-CN" w:bidi="ar-SA"/>
        </w:rPr>
        <w:t>%；农林水支出</w:t>
      </w:r>
      <w:r>
        <w:rPr>
          <w:rFonts w:hint="eastAsia" w:eastAsia="仿宋_GB2312" w:cs="仿宋_GB2312"/>
          <w:color w:val="auto"/>
          <w:kern w:val="2"/>
          <w:sz w:val="32"/>
          <w:szCs w:val="32"/>
          <w:highlight w:val="none"/>
          <w:lang w:val="en-US" w:eastAsia="zh-CN" w:bidi="ar-SA"/>
        </w:rPr>
        <w:t>1.5</w:t>
      </w:r>
      <w:r>
        <w:rPr>
          <w:rFonts w:hint="eastAsia" w:ascii="Times New Roman" w:hAnsi="Times New Roman" w:eastAsia="仿宋_GB2312" w:cs="仿宋_GB2312"/>
          <w:color w:val="auto"/>
          <w:kern w:val="2"/>
          <w:sz w:val="32"/>
          <w:szCs w:val="32"/>
          <w:highlight w:val="none"/>
          <w:lang w:val="en-US" w:eastAsia="zh-CN" w:bidi="ar-SA"/>
        </w:rPr>
        <w:t>万元，占</w:t>
      </w:r>
      <w:r>
        <w:rPr>
          <w:rFonts w:hint="eastAsia" w:eastAsia="仿宋_GB2312" w:cs="仿宋_GB2312"/>
          <w:color w:val="auto"/>
          <w:kern w:val="2"/>
          <w:sz w:val="32"/>
          <w:szCs w:val="32"/>
          <w:highlight w:val="none"/>
          <w:lang w:val="en-US" w:eastAsia="zh-CN" w:bidi="ar-SA"/>
        </w:rPr>
        <w:t>0.15</w:t>
      </w:r>
      <w:r>
        <w:rPr>
          <w:rFonts w:hint="eastAsia" w:ascii="Times New Roman" w:hAnsi="Times New Roman" w:eastAsia="仿宋_GB2312" w:cs="仿宋_GB2312"/>
          <w:color w:val="auto"/>
          <w:kern w:val="2"/>
          <w:sz w:val="32"/>
          <w:szCs w:val="32"/>
          <w:highlight w:val="none"/>
          <w:lang w:val="en-US" w:eastAsia="zh-CN" w:bidi="ar-SA"/>
        </w:rPr>
        <w:t>%；住房保障支出</w:t>
      </w:r>
      <w:r>
        <w:rPr>
          <w:rFonts w:hint="eastAsia" w:eastAsia="仿宋_GB2312" w:cs="仿宋_GB2312"/>
          <w:color w:val="auto"/>
          <w:kern w:val="2"/>
          <w:sz w:val="32"/>
          <w:szCs w:val="32"/>
          <w:highlight w:val="none"/>
          <w:lang w:val="en-US" w:eastAsia="zh-CN" w:bidi="ar-SA"/>
        </w:rPr>
        <w:t>36.18</w:t>
      </w:r>
      <w:r>
        <w:rPr>
          <w:rFonts w:hint="eastAsia" w:ascii="Times New Roman" w:hAnsi="Times New Roman" w:eastAsia="仿宋_GB2312" w:cs="仿宋_GB2312"/>
          <w:color w:val="auto"/>
          <w:kern w:val="2"/>
          <w:sz w:val="32"/>
          <w:szCs w:val="32"/>
          <w:highlight w:val="none"/>
          <w:lang w:val="en-US" w:eastAsia="zh-CN" w:bidi="ar-SA"/>
        </w:rPr>
        <w:t>万元，占</w:t>
      </w:r>
      <w:r>
        <w:rPr>
          <w:rFonts w:hint="eastAsia" w:eastAsia="仿宋_GB2312" w:cs="仿宋_GB2312"/>
          <w:color w:val="auto"/>
          <w:kern w:val="2"/>
          <w:sz w:val="32"/>
          <w:szCs w:val="32"/>
          <w:highlight w:val="none"/>
          <w:lang w:val="en-US" w:eastAsia="zh-CN" w:bidi="ar-SA"/>
        </w:rPr>
        <w:t>3.68</w:t>
      </w:r>
      <w:r>
        <w:rPr>
          <w:rFonts w:hint="eastAsia" w:ascii="Times New Roman" w:hAnsi="Times New Roman" w:eastAsia="仿宋_GB2312" w:cs="仿宋_GB2312"/>
          <w:color w:val="auto"/>
          <w:kern w:val="2"/>
          <w:sz w:val="32"/>
          <w:szCs w:val="32"/>
          <w:highlight w:val="none"/>
          <w:lang w:val="en-US" w:eastAsia="zh-CN" w:bidi="ar-SA"/>
        </w:rPr>
        <w:t>%</w:t>
      </w:r>
      <w:r>
        <w:rPr>
          <w:rFonts w:hint="eastAsia" w:eastAsia="仿宋_GB2312" w:cs="仿宋_GB2312"/>
          <w:color w:val="auto"/>
          <w:kern w:val="2"/>
          <w:sz w:val="32"/>
          <w:szCs w:val="32"/>
          <w:highlight w:val="none"/>
          <w:lang w:val="en-US" w:eastAsia="zh-CN" w:bidi="ar-SA"/>
        </w:rPr>
        <w:t>。</w:t>
      </w:r>
      <w:r>
        <w:rPr>
          <w:rFonts w:hint="eastAsia" w:ascii="Times New Roman" w:hAnsi="Times New Roman" w:eastAsia="仿宋_GB2312" w:cs="仿宋_GB2312"/>
          <w:b/>
          <w:bCs/>
          <w:color w:val="auto"/>
          <w:kern w:val="2"/>
          <w:sz w:val="32"/>
          <w:szCs w:val="32"/>
          <w:highlight w:val="none"/>
          <w:lang w:val="en-US" w:eastAsia="zh-CN" w:bidi="ar-SA"/>
        </w:rPr>
        <w:t>（注：仅罗列本部门涉及的全部功能分类科目，至类级）</w:t>
      </w:r>
    </w:p>
    <w:p w14:paraId="63B9070E">
      <w:pPr>
        <w:pStyle w:val="5"/>
        <w:rPr>
          <w:rFonts w:hint="eastAsia" w:ascii="Times New Roman" w:hAnsi="Times New Roman" w:eastAsia="仿宋_GB2312" w:cs="仿宋_GB2312"/>
          <w:color w:val="auto"/>
          <w:kern w:val="2"/>
          <w:sz w:val="32"/>
          <w:szCs w:val="32"/>
          <w:highlight w:val="none"/>
          <w:lang w:val="en-US" w:eastAsia="zh-CN" w:bidi="ar-SA"/>
        </w:rPr>
      </w:pPr>
      <w:r>
        <w:drawing>
          <wp:inline distT="0" distB="0" distL="114300" distR="114300">
            <wp:extent cx="4826000" cy="2495550"/>
            <wp:effectExtent l="4445" t="4445" r="8255" b="14605"/>
            <wp:docPr id="2"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inline>
        </w:drawing>
      </w:r>
    </w:p>
    <w:p w14:paraId="6C463CC5">
      <w:pPr>
        <w:spacing w:line="600" w:lineRule="exact"/>
        <w:ind w:firstLine="640"/>
        <w:rPr>
          <w:rFonts w:hint="eastAsia" w:ascii="Times New Roman" w:hAnsi="Times New Roman" w:eastAsia="仿宋_GB2312" w:cs="仿宋_GB2312"/>
          <w:color w:val="auto"/>
          <w:kern w:val="2"/>
          <w:sz w:val="32"/>
          <w:szCs w:val="32"/>
          <w:highlight w:val="none"/>
          <w:lang w:val="en-US" w:eastAsia="zh-CN" w:bidi="ar-SA"/>
        </w:rPr>
      </w:pPr>
      <w:r>
        <w:rPr>
          <w:rFonts w:hint="eastAsia" w:ascii="Times New Roman" w:hAnsi="Times New Roman" w:eastAsia="仿宋_GB2312" w:cs="仿宋_GB2312"/>
          <w:color w:val="auto"/>
          <w:kern w:val="2"/>
          <w:sz w:val="32"/>
          <w:szCs w:val="32"/>
          <w:highlight w:val="none"/>
          <w:lang w:val="en-US" w:eastAsia="zh-CN" w:bidi="ar-SA"/>
        </w:rPr>
        <w:t>（图6：一般公共预算财政拨款支出决算结构）（饼状图）</w:t>
      </w:r>
    </w:p>
    <w:p w14:paraId="6B627817">
      <w:pPr>
        <w:keepNext w:val="0"/>
        <w:keepLines w:val="0"/>
        <w:pageBreakBefore w:val="0"/>
        <w:widowControl w:val="0"/>
        <w:kinsoku/>
        <w:wordWrap/>
        <w:overflowPunct/>
        <w:topLinePunct w:val="0"/>
        <w:autoSpaceDE/>
        <w:autoSpaceDN/>
        <w:bidi w:val="0"/>
        <w:adjustRightInd/>
        <w:snapToGrid/>
        <w:spacing w:line="560" w:lineRule="exact"/>
        <w:ind w:left="0" w:firstLine="643" w:firstLineChars="200"/>
        <w:jc w:val="both"/>
        <w:textAlignment w:val="auto"/>
        <w:outlineLvl w:val="2"/>
        <w:rPr>
          <w:rFonts w:hint="eastAsia" w:ascii="Times New Roman" w:hAnsi="Times New Roman" w:eastAsia="楷体_GB2312" w:cs="楷体_GB2312"/>
          <w:b/>
          <w:color w:val="auto"/>
          <w:sz w:val="32"/>
          <w:szCs w:val="32"/>
          <w:highlight w:val="none"/>
        </w:rPr>
      </w:pPr>
      <w:bookmarkStart w:id="36" w:name="_Toc15377212"/>
      <w:r>
        <w:rPr>
          <w:rFonts w:hint="eastAsia" w:ascii="Times New Roman" w:hAnsi="Times New Roman" w:eastAsia="楷体_GB2312" w:cs="楷体_GB2312"/>
          <w:b/>
          <w:color w:val="auto"/>
          <w:sz w:val="32"/>
          <w:szCs w:val="32"/>
          <w:highlight w:val="none"/>
        </w:rPr>
        <w:t>（三）一般公共预算财政拨款支出决算具体情况</w:t>
      </w:r>
      <w:bookmarkEnd w:id="36"/>
    </w:p>
    <w:p w14:paraId="3EA2916D">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jc w:val="both"/>
        <w:textAlignment w:val="auto"/>
        <w:rPr>
          <w:rFonts w:hint="eastAsia" w:ascii="Times New Roman" w:hAnsi="Times New Roman" w:eastAsia="仿宋_GB2312" w:cs="仿宋_GB2312"/>
          <w:color w:val="auto"/>
          <w:kern w:val="2"/>
          <w:sz w:val="32"/>
          <w:szCs w:val="32"/>
          <w:highlight w:val="none"/>
          <w:lang w:val="en-US" w:eastAsia="zh-CN" w:bidi="ar-SA"/>
        </w:rPr>
      </w:pPr>
      <w:bookmarkStart w:id="37" w:name="_Toc15377444"/>
      <w:bookmarkStart w:id="38" w:name="_Toc15377213"/>
      <w:bookmarkStart w:id="39" w:name="_Toc15378460"/>
      <w:r>
        <w:rPr>
          <w:rFonts w:hint="eastAsia" w:ascii="Times New Roman" w:hAnsi="Times New Roman" w:eastAsia="仿宋_GB2312" w:cs="仿宋_GB2312"/>
          <w:color w:val="auto"/>
          <w:kern w:val="2"/>
          <w:sz w:val="32"/>
          <w:szCs w:val="32"/>
          <w:highlight w:val="none"/>
          <w:lang w:val="en-US" w:eastAsia="zh-CN" w:bidi="ar-SA"/>
        </w:rPr>
        <w:t>2024年度一般公共预算财政拨款支出决算数为</w:t>
      </w:r>
      <w:r>
        <w:rPr>
          <w:rFonts w:hint="eastAsia" w:ascii="仿宋_GB2312" w:hAnsi="仿宋_GB2312" w:eastAsia="仿宋_GB2312" w:cs="仿宋_GB2312"/>
          <w:sz w:val="32"/>
          <w:szCs w:val="32"/>
        </w:rPr>
        <w:t>983.9</w:t>
      </w:r>
      <w:r>
        <w:rPr>
          <w:rFonts w:hint="eastAsia" w:ascii="仿宋_GB2312" w:hAnsi="仿宋_GB2312" w:eastAsia="仿宋_GB2312" w:cs="仿宋_GB2312"/>
          <w:sz w:val="32"/>
          <w:szCs w:val="32"/>
          <w:lang w:eastAsia="zh-CN"/>
        </w:rPr>
        <w:t>万元</w:t>
      </w:r>
      <w:r>
        <w:rPr>
          <w:rFonts w:hint="eastAsia" w:ascii="仿宋_GB2312" w:hAnsi="仿宋_GB2312" w:eastAsia="仿宋_GB2312" w:cs="仿宋_GB2312"/>
          <w:color w:val="auto"/>
          <w:kern w:val="2"/>
          <w:sz w:val="32"/>
          <w:szCs w:val="32"/>
          <w:highlight w:val="none"/>
          <w:lang w:val="en-US" w:eastAsia="zh-CN" w:bidi="ar-SA"/>
        </w:rPr>
        <w:t>，</w:t>
      </w:r>
      <w:r>
        <w:rPr>
          <w:rFonts w:hint="eastAsia" w:ascii="Times New Roman" w:hAnsi="Times New Roman" w:eastAsia="仿宋_GB2312" w:cs="仿宋_GB2312"/>
          <w:color w:val="auto"/>
          <w:kern w:val="2"/>
          <w:sz w:val="32"/>
          <w:szCs w:val="32"/>
          <w:highlight w:val="none"/>
          <w:lang w:val="en-US" w:eastAsia="zh-CN" w:bidi="ar-SA"/>
        </w:rPr>
        <w:t>完成预算</w:t>
      </w:r>
      <w:r>
        <w:rPr>
          <w:rFonts w:hint="eastAsia" w:eastAsia="仿宋_GB2312" w:cs="仿宋_GB2312"/>
          <w:color w:val="auto"/>
          <w:kern w:val="2"/>
          <w:sz w:val="32"/>
          <w:szCs w:val="32"/>
          <w:highlight w:val="none"/>
          <w:lang w:val="en-US" w:eastAsia="zh-CN" w:bidi="ar-SA"/>
        </w:rPr>
        <w:t>100</w:t>
      </w:r>
      <w:r>
        <w:rPr>
          <w:rFonts w:hint="eastAsia" w:ascii="Times New Roman" w:hAnsi="Times New Roman" w:eastAsia="仿宋_GB2312" w:cs="仿宋_GB2312"/>
          <w:color w:val="auto"/>
          <w:kern w:val="2"/>
          <w:sz w:val="32"/>
          <w:szCs w:val="32"/>
          <w:highlight w:val="none"/>
          <w:lang w:val="en-US" w:eastAsia="zh-CN" w:bidi="ar-SA"/>
        </w:rPr>
        <w:t>%。其中：</w:t>
      </w:r>
      <w:bookmarkEnd w:id="37"/>
      <w:bookmarkEnd w:id="38"/>
      <w:bookmarkEnd w:id="39"/>
    </w:p>
    <w:p w14:paraId="20B1E5B8">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jc w:val="both"/>
        <w:textAlignment w:val="auto"/>
        <w:rPr>
          <w:rStyle w:val="18"/>
          <w:rFonts w:hint="eastAsia" w:ascii="仿宋" w:hAnsi="仿宋" w:eastAsia="仿宋"/>
          <w:b w:val="0"/>
          <w:bCs/>
          <w:sz w:val="32"/>
          <w:szCs w:val="32"/>
        </w:rPr>
      </w:pPr>
      <w:r>
        <w:rPr>
          <w:rFonts w:hint="eastAsia" w:ascii="Times New Roman" w:hAnsi="Times New Roman" w:eastAsia="仿宋_GB2312" w:cs="仿宋_GB2312"/>
          <w:color w:val="auto"/>
          <w:kern w:val="2"/>
          <w:sz w:val="32"/>
          <w:szCs w:val="32"/>
          <w:highlight w:val="none"/>
          <w:lang w:val="en-US" w:eastAsia="zh-CN" w:bidi="ar-SA"/>
        </w:rPr>
        <w:t>1</w:t>
      </w:r>
      <w:r>
        <w:rPr>
          <w:rFonts w:hint="eastAsia" w:eastAsia="仿宋_GB2312" w:cs="仿宋_GB2312"/>
          <w:color w:val="auto"/>
          <w:kern w:val="2"/>
          <w:sz w:val="32"/>
          <w:szCs w:val="32"/>
          <w:highlight w:val="none"/>
          <w:lang w:val="en-US" w:eastAsia="zh-CN" w:bidi="ar-SA"/>
        </w:rPr>
        <w:t>.</w:t>
      </w:r>
      <w:r>
        <w:rPr>
          <w:rStyle w:val="18"/>
          <w:rFonts w:hint="eastAsia" w:ascii="仿宋" w:hAnsi="仿宋" w:eastAsia="仿宋"/>
          <w:b w:val="0"/>
          <w:bCs/>
          <w:sz w:val="32"/>
          <w:szCs w:val="32"/>
        </w:rPr>
        <w:t>文化旅游体育与传媒支出</w:t>
      </w:r>
      <w:r>
        <w:rPr>
          <w:rFonts w:hint="eastAsia" w:ascii="Times New Roman" w:hAnsi="Times New Roman" w:eastAsia="仿宋_GB2312" w:cs="仿宋_GB2312"/>
          <w:color w:val="auto"/>
          <w:kern w:val="2"/>
          <w:sz w:val="32"/>
          <w:szCs w:val="32"/>
          <w:highlight w:val="none"/>
          <w:lang w:val="en-US" w:eastAsia="zh-CN" w:bidi="ar-SA"/>
        </w:rPr>
        <w:t>（类）</w:t>
      </w:r>
      <w:r>
        <w:rPr>
          <w:rStyle w:val="18"/>
          <w:rFonts w:hint="eastAsia" w:ascii="仿宋" w:hAnsi="仿宋" w:eastAsia="仿宋"/>
          <w:b w:val="0"/>
          <w:bCs/>
          <w:sz w:val="32"/>
          <w:szCs w:val="32"/>
        </w:rPr>
        <w:t>文化和旅游</w:t>
      </w:r>
      <w:r>
        <w:rPr>
          <w:rFonts w:hint="eastAsia" w:ascii="Times New Roman" w:hAnsi="Times New Roman" w:eastAsia="仿宋_GB2312" w:cs="仿宋_GB2312"/>
          <w:color w:val="auto"/>
          <w:kern w:val="2"/>
          <w:sz w:val="32"/>
          <w:szCs w:val="32"/>
          <w:highlight w:val="none"/>
          <w:lang w:val="en-US" w:eastAsia="zh-CN" w:bidi="ar-SA"/>
        </w:rPr>
        <w:t>（款）</w:t>
      </w:r>
      <w:r>
        <w:rPr>
          <w:rStyle w:val="18"/>
          <w:rFonts w:hint="eastAsia" w:ascii="仿宋" w:hAnsi="仿宋" w:eastAsia="仿宋"/>
          <w:b w:val="0"/>
          <w:bCs/>
          <w:sz w:val="32"/>
          <w:szCs w:val="32"/>
        </w:rPr>
        <w:t>行政运行</w:t>
      </w:r>
      <w:r>
        <w:rPr>
          <w:rFonts w:hint="eastAsia" w:ascii="Times New Roman" w:hAnsi="Times New Roman" w:eastAsia="仿宋_GB2312" w:cs="仿宋_GB2312"/>
          <w:color w:val="auto"/>
          <w:kern w:val="2"/>
          <w:sz w:val="32"/>
          <w:szCs w:val="32"/>
          <w:highlight w:val="none"/>
          <w:lang w:val="en-US" w:eastAsia="zh-CN" w:bidi="ar-SA"/>
        </w:rPr>
        <w:t>（项）</w:t>
      </w:r>
      <w:r>
        <w:rPr>
          <w:rFonts w:hint="eastAsia" w:eastAsia="仿宋_GB2312" w:cs="仿宋_GB2312"/>
          <w:color w:val="auto"/>
          <w:kern w:val="2"/>
          <w:sz w:val="32"/>
          <w:szCs w:val="32"/>
          <w:highlight w:val="none"/>
          <w:lang w:val="en-US" w:eastAsia="zh-CN" w:bidi="ar-SA"/>
        </w:rPr>
        <w:t>：</w:t>
      </w:r>
      <w:r>
        <w:rPr>
          <w:rFonts w:hint="eastAsia" w:ascii="Times New Roman" w:hAnsi="Times New Roman" w:eastAsia="仿宋_GB2312" w:cs="仿宋_GB2312"/>
          <w:color w:val="auto"/>
          <w:kern w:val="2"/>
          <w:sz w:val="32"/>
          <w:szCs w:val="32"/>
          <w:highlight w:val="none"/>
          <w:lang w:val="en-US" w:eastAsia="zh-CN" w:bidi="ar-SA"/>
        </w:rPr>
        <w:t>支出决算为</w:t>
      </w:r>
      <w:r>
        <w:rPr>
          <w:rFonts w:hint="eastAsia" w:eastAsia="仿宋_GB2312" w:cs="仿宋_GB2312"/>
          <w:color w:val="auto"/>
          <w:kern w:val="2"/>
          <w:sz w:val="32"/>
          <w:szCs w:val="32"/>
          <w:highlight w:val="none"/>
          <w:lang w:val="en-US" w:eastAsia="zh-CN" w:bidi="ar-SA"/>
        </w:rPr>
        <w:t>196.6</w:t>
      </w:r>
      <w:r>
        <w:rPr>
          <w:rFonts w:hint="eastAsia" w:ascii="Times New Roman" w:hAnsi="Times New Roman" w:eastAsia="仿宋_GB2312" w:cs="仿宋_GB2312"/>
          <w:color w:val="auto"/>
          <w:kern w:val="2"/>
          <w:sz w:val="32"/>
          <w:szCs w:val="32"/>
          <w:highlight w:val="none"/>
          <w:lang w:val="en-US" w:eastAsia="zh-CN" w:bidi="ar-SA"/>
        </w:rPr>
        <w:t>万元，完成预算</w:t>
      </w:r>
      <w:r>
        <w:rPr>
          <w:rFonts w:hint="eastAsia" w:eastAsia="仿宋_GB2312" w:cs="仿宋_GB2312"/>
          <w:color w:val="auto"/>
          <w:kern w:val="2"/>
          <w:sz w:val="32"/>
          <w:szCs w:val="32"/>
          <w:highlight w:val="none"/>
          <w:lang w:val="en-US" w:eastAsia="zh-CN" w:bidi="ar-SA"/>
        </w:rPr>
        <w:t>100</w:t>
      </w:r>
      <w:r>
        <w:rPr>
          <w:rFonts w:hint="eastAsia" w:ascii="Times New Roman" w:hAnsi="Times New Roman" w:eastAsia="仿宋_GB2312" w:cs="仿宋_GB2312"/>
          <w:color w:val="auto"/>
          <w:kern w:val="2"/>
          <w:sz w:val="32"/>
          <w:szCs w:val="32"/>
          <w:highlight w:val="none"/>
          <w:lang w:val="en-US" w:eastAsia="zh-CN" w:bidi="ar-SA"/>
        </w:rPr>
        <w:t>%，</w:t>
      </w:r>
      <w:r>
        <w:rPr>
          <w:rStyle w:val="18"/>
          <w:rFonts w:hint="eastAsia" w:ascii="仿宋" w:hAnsi="仿宋" w:eastAsia="仿宋"/>
          <w:b w:val="0"/>
          <w:bCs/>
          <w:sz w:val="30"/>
          <w:szCs w:val="30"/>
        </w:rPr>
        <w:t>决算数与预算数持平</w:t>
      </w:r>
      <w:r>
        <w:rPr>
          <w:rStyle w:val="18"/>
          <w:rFonts w:hint="eastAsia" w:ascii="仿宋" w:hAnsi="仿宋" w:eastAsia="仿宋"/>
          <w:b w:val="0"/>
          <w:bCs/>
          <w:sz w:val="32"/>
          <w:szCs w:val="32"/>
        </w:rPr>
        <w:t>。</w:t>
      </w:r>
    </w:p>
    <w:p w14:paraId="317EB6B1">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jc w:val="both"/>
        <w:textAlignment w:val="auto"/>
        <w:rPr>
          <w:rStyle w:val="18"/>
          <w:rFonts w:hint="eastAsia" w:ascii="仿宋" w:hAnsi="仿宋" w:eastAsia="仿宋"/>
          <w:b w:val="0"/>
          <w:bCs/>
          <w:sz w:val="32"/>
          <w:szCs w:val="32"/>
        </w:rPr>
      </w:pPr>
      <w:r>
        <w:rPr>
          <w:rFonts w:hint="eastAsia" w:ascii="Times New Roman" w:hAnsi="Times New Roman" w:eastAsia="仿宋_GB2312" w:cs="仿宋_GB2312"/>
          <w:color w:val="auto"/>
          <w:kern w:val="2"/>
          <w:sz w:val="32"/>
          <w:szCs w:val="32"/>
          <w:highlight w:val="none"/>
          <w:lang w:val="en-US" w:eastAsia="zh-CN" w:bidi="ar-SA"/>
        </w:rPr>
        <w:t>2.</w:t>
      </w:r>
      <w:r>
        <w:rPr>
          <w:rStyle w:val="18"/>
          <w:rFonts w:hint="eastAsia" w:ascii="仿宋" w:hAnsi="仿宋" w:eastAsia="仿宋"/>
          <w:b w:val="0"/>
          <w:bCs/>
          <w:sz w:val="32"/>
          <w:szCs w:val="32"/>
        </w:rPr>
        <w:t>文化旅游体育与传媒支出</w:t>
      </w:r>
      <w:r>
        <w:rPr>
          <w:rFonts w:hint="eastAsia" w:ascii="Times New Roman" w:hAnsi="Times New Roman" w:eastAsia="仿宋_GB2312" w:cs="仿宋_GB2312"/>
          <w:color w:val="auto"/>
          <w:kern w:val="2"/>
          <w:sz w:val="32"/>
          <w:szCs w:val="32"/>
          <w:highlight w:val="none"/>
          <w:lang w:val="en-US" w:eastAsia="zh-CN" w:bidi="ar-SA"/>
        </w:rPr>
        <w:t>（类）</w:t>
      </w:r>
      <w:r>
        <w:rPr>
          <w:rStyle w:val="18"/>
          <w:rFonts w:hint="eastAsia" w:ascii="仿宋" w:hAnsi="仿宋" w:eastAsia="仿宋"/>
          <w:b w:val="0"/>
          <w:bCs/>
          <w:sz w:val="32"/>
          <w:szCs w:val="32"/>
        </w:rPr>
        <w:t>文化和旅游</w:t>
      </w:r>
      <w:r>
        <w:rPr>
          <w:rFonts w:hint="eastAsia" w:ascii="Times New Roman" w:hAnsi="Times New Roman" w:eastAsia="仿宋_GB2312" w:cs="仿宋_GB2312"/>
          <w:color w:val="auto"/>
          <w:kern w:val="2"/>
          <w:sz w:val="32"/>
          <w:szCs w:val="32"/>
          <w:highlight w:val="none"/>
          <w:lang w:val="en-US" w:eastAsia="zh-CN" w:bidi="ar-SA"/>
        </w:rPr>
        <w:t>（款）</w:t>
      </w:r>
      <w:r>
        <w:rPr>
          <w:rStyle w:val="18"/>
          <w:rFonts w:hint="eastAsia" w:ascii="仿宋" w:hAnsi="仿宋" w:eastAsia="仿宋"/>
          <w:b w:val="0"/>
          <w:bCs/>
          <w:sz w:val="32"/>
          <w:szCs w:val="32"/>
        </w:rPr>
        <w:t>图书馆</w:t>
      </w:r>
      <w:r>
        <w:rPr>
          <w:rFonts w:hint="eastAsia" w:ascii="Times New Roman" w:hAnsi="Times New Roman" w:eastAsia="仿宋_GB2312" w:cs="仿宋_GB2312"/>
          <w:color w:val="auto"/>
          <w:kern w:val="2"/>
          <w:sz w:val="32"/>
          <w:szCs w:val="32"/>
          <w:highlight w:val="none"/>
          <w:lang w:val="en-US" w:eastAsia="zh-CN" w:bidi="ar-SA"/>
        </w:rPr>
        <w:t>（项）</w:t>
      </w:r>
      <w:r>
        <w:rPr>
          <w:rFonts w:hint="eastAsia" w:eastAsia="仿宋_GB2312" w:cs="仿宋_GB2312"/>
          <w:color w:val="auto"/>
          <w:kern w:val="2"/>
          <w:sz w:val="32"/>
          <w:szCs w:val="32"/>
          <w:highlight w:val="none"/>
          <w:lang w:val="en-US" w:eastAsia="zh-CN" w:bidi="ar-SA"/>
        </w:rPr>
        <w:t>：</w:t>
      </w:r>
      <w:r>
        <w:rPr>
          <w:rFonts w:hint="eastAsia" w:ascii="Times New Roman" w:hAnsi="Times New Roman" w:eastAsia="仿宋_GB2312" w:cs="仿宋_GB2312"/>
          <w:color w:val="auto"/>
          <w:kern w:val="2"/>
          <w:sz w:val="32"/>
          <w:szCs w:val="32"/>
          <w:highlight w:val="none"/>
          <w:lang w:val="en-US" w:eastAsia="zh-CN" w:bidi="ar-SA"/>
        </w:rPr>
        <w:t>: 支出决算为</w:t>
      </w:r>
      <w:r>
        <w:rPr>
          <w:rFonts w:hint="eastAsia" w:eastAsia="仿宋_GB2312" w:cs="仿宋_GB2312"/>
          <w:color w:val="auto"/>
          <w:kern w:val="2"/>
          <w:sz w:val="32"/>
          <w:szCs w:val="32"/>
          <w:highlight w:val="none"/>
          <w:lang w:val="en-US" w:eastAsia="zh-CN" w:bidi="ar-SA"/>
        </w:rPr>
        <w:t>3</w:t>
      </w:r>
      <w:r>
        <w:rPr>
          <w:rFonts w:hint="eastAsia" w:ascii="Times New Roman" w:hAnsi="Times New Roman" w:eastAsia="仿宋_GB2312" w:cs="仿宋_GB2312"/>
          <w:color w:val="auto"/>
          <w:kern w:val="2"/>
          <w:sz w:val="32"/>
          <w:szCs w:val="32"/>
          <w:highlight w:val="none"/>
          <w:lang w:val="en-US" w:eastAsia="zh-CN" w:bidi="ar-SA"/>
        </w:rPr>
        <w:t>万元，完成预算</w:t>
      </w:r>
      <w:r>
        <w:rPr>
          <w:rFonts w:hint="eastAsia" w:eastAsia="仿宋_GB2312" w:cs="仿宋_GB2312"/>
          <w:color w:val="auto"/>
          <w:kern w:val="2"/>
          <w:sz w:val="32"/>
          <w:szCs w:val="32"/>
          <w:highlight w:val="none"/>
          <w:lang w:val="en-US" w:eastAsia="zh-CN" w:bidi="ar-SA"/>
        </w:rPr>
        <w:t>100</w:t>
      </w:r>
      <w:r>
        <w:rPr>
          <w:rFonts w:hint="eastAsia" w:ascii="Times New Roman" w:hAnsi="Times New Roman" w:eastAsia="仿宋_GB2312" w:cs="仿宋_GB2312"/>
          <w:color w:val="auto"/>
          <w:kern w:val="2"/>
          <w:sz w:val="32"/>
          <w:szCs w:val="32"/>
          <w:highlight w:val="none"/>
          <w:lang w:val="en-US" w:eastAsia="zh-CN" w:bidi="ar-SA"/>
        </w:rPr>
        <w:t>%，</w:t>
      </w:r>
      <w:r>
        <w:rPr>
          <w:rStyle w:val="18"/>
          <w:rFonts w:hint="eastAsia" w:ascii="仿宋" w:hAnsi="仿宋" w:eastAsia="仿宋"/>
          <w:b w:val="0"/>
          <w:bCs/>
          <w:sz w:val="30"/>
          <w:szCs w:val="30"/>
        </w:rPr>
        <w:t>决算数与预算数持平</w:t>
      </w:r>
      <w:r>
        <w:rPr>
          <w:rStyle w:val="18"/>
          <w:rFonts w:hint="eastAsia" w:ascii="仿宋" w:hAnsi="仿宋" w:eastAsia="仿宋"/>
          <w:b w:val="0"/>
          <w:bCs/>
          <w:sz w:val="32"/>
          <w:szCs w:val="32"/>
        </w:rPr>
        <w:t>。</w:t>
      </w:r>
    </w:p>
    <w:p w14:paraId="00832526">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jc w:val="both"/>
        <w:textAlignment w:val="auto"/>
        <w:rPr>
          <w:rStyle w:val="18"/>
          <w:rFonts w:hint="eastAsia" w:ascii="仿宋" w:hAnsi="仿宋" w:eastAsia="仿宋"/>
          <w:b w:val="0"/>
          <w:bCs/>
          <w:sz w:val="32"/>
          <w:szCs w:val="32"/>
        </w:rPr>
      </w:pPr>
      <w:r>
        <w:rPr>
          <w:rFonts w:hint="eastAsia" w:ascii="Times New Roman" w:hAnsi="Times New Roman" w:eastAsia="仿宋_GB2312" w:cs="仿宋_GB2312"/>
          <w:color w:val="auto"/>
          <w:kern w:val="2"/>
          <w:sz w:val="32"/>
          <w:szCs w:val="32"/>
          <w:highlight w:val="none"/>
          <w:lang w:val="en-US" w:eastAsia="zh-CN" w:bidi="ar-SA"/>
        </w:rPr>
        <w:t>3.</w:t>
      </w:r>
      <w:r>
        <w:rPr>
          <w:rStyle w:val="18"/>
          <w:rFonts w:hint="eastAsia" w:ascii="仿宋" w:hAnsi="仿宋" w:eastAsia="仿宋"/>
          <w:b w:val="0"/>
          <w:bCs/>
          <w:sz w:val="32"/>
          <w:szCs w:val="32"/>
        </w:rPr>
        <w:t>文化旅游体育与传媒支出</w:t>
      </w:r>
      <w:r>
        <w:rPr>
          <w:rFonts w:hint="eastAsia" w:ascii="Times New Roman" w:hAnsi="Times New Roman" w:eastAsia="仿宋_GB2312" w:cs="仿宋_GB2312"/>
          <w:color w:val="auto"/>
          <w:kern w:val="2"/>
          <w:sz w:val="32"/>
          <w:szCs w:val="32"/>
          <w:highlight w:val="none"/>
          <w:lang w:val="en-US" w:eastAsia="zh-CN" w:bidi="ar-SA"/>
        </w:rPr>
        <w:t>（类）</w:t>
      </w:r>
      <w:r>
        <w:rPr>
          <w:rStyle w:val="18"/>
          <w:rFonts w:hint="eastAsia" w:ascii="仿宋" w:hAnsi="仿宋" w:eastAsia="仿宋"/>
          <w:b w:val="0"/>
          <w:bCs/>
          <w:sz w:val="32"/>
          <w:szCs w:val="32"/>
        </w:rPr>
        <w:t>文化和旅游</w:t>
      </w:r>
      <w:r>
        <w:rPr>
          <w:rFonts w:hint="eastAsia" w:ascii="Times New Roman" w:hAnsi="Times New Roman" w:eastAsia="仿宋_GB2312" w:cs="仿宋_GB2312"/>
          <w:color w:val="auto"/>
          <w:kern w:val="2"/>
          <w:sz w:val="32"/>
          <w:szCs w:val="32"/>
          <w:highlight w:val="none"/>
          <w:lang w:val="en-US" w:eastAsia="zh-CN" w:bidi="ar-SA"/>
        </w:rPr>
        <w:t>（款）</w:t>
      </w:r>
      <w:r>
        <w:rPr>
          <w:rStyle w:val="18"/>
          <w:rFonts w:hint="eastAsia" w:ascii="仿宋" w:hAnsi="仿宋" w:eastAsia="仿宋"/>
          <w:b w:val="0"/>
          <w:bCs/>
          <w:sz w:val="32"/>
          <w:szCs w:val="32"/>
        </w:rPr>
        <w:t>其他文化和旅游支出</w:t>
      </w:r>
      <w:r>
        <w:rPr>
          <w:rFonts w:hint="eastAsia" w:ascii="Times New Roman" w:hAnsi="Times New Roman" w:eastAsia="仿宋_GB2312" w:cs="仿宋_GB2312"/>
          <w:color w:val="auto"/>
          <w:kern w:val="2"/>
          <w:sz w:val="32"/>
          <w:szCs w:val="32"/>
          <w:highlight w:val="none"/>
          <w:lang w:val="en-US" w:eastAsia="zh-CN" w:bidi="ar-SA"/>
        </w:rPr>
        <w:t>（项）</w:t>
      </w:r>
      <w:r>
        <w:rPr>
          <w:rFonts w:hint="eastAsia" w:eastAsia="仿宋_GB2312" w:cs="仿宋_GB2312"/>
          <w:color w:val="auto"/>
          <w:kern w:val="2"/>
          <w:sz w:val="32"/>
          <w:szCs w:val="32"/>
          <w:highlight w:val="none"/>
          <w:lang w:val="en-US" w:eastAsia="zh-CN" w:bidi="ar-SA"/>
        </w:rPr>
        <w:t>：</w:t>
      </w:r>
      <w:r>
        <w:rPr>
          <w:rFonts w:hint="eastAsia" w:ascii="Times New Roman" w:hAnsi="Times New Roman" w:eastAsia="仿宋_GB2312" w:cs="仿宋_GB2312"/>
          <w:color w:val="auto"/>
          <w:kern w:val="2"/>
          <w:sz w:val="32"/>
          <w:szCs w:val="32"/>
          <w:highlight w:val="none"/>
          <w:lang w:val="en-US" w:eastAsia="zh-CN" w:bidi="ar-SA"/>
        </w:rPr>
        <w:t>支出决算为</w:t>
      </w:r>
      <w:r>
        <w:rPr>
          <w:rFonts w:hint="eastAsia" w:eastAsia="仿宋_GB2312" w:cs="仿宋_GB2312"/>
          <w:color w:val="auto"/>
          <w:kern w:val="2"/>
          <w:sz w:val="32"/>
          <w:szCs w:val="32"/>
          <w:highlight w:val="none"/>
          <w:lang w:val="en-US" w:eastAsia="zh-CN" w:bidi="ar-SA"/>
        </w:rPr>
        <w:t>144.03</w:t>
      </w:r>
      <w:r>
        <w:rPr>
          <w:rFonts w:hint="eastAsia" w:ascii="Times New Roman" w:hAnsi="Times New Roman" w:eastAsia="仿宋_GB2312" w:cs="仿宋_GB2312"/>
          <w:color w:val="auto"/>
          <w:kern w:val="2"/>
          <w:sz w:val="32"/>
          <w:szCs w:val="32"/>
          <w:highlight w:val="none"/>
          <w:lang w:val="en-US" w:eastAsia="zh-CN" w:bidi="ar-SA"/>
        </w:rPr>
        <w:t>万元，完成预算</w:t>
      </w:r>
      <w:r>
        <w:rPr>
          <w:rFonts w:hint="eastAsia" w:eastAsia="仿宋_GB2312" w:cs="仿宋_GB2312"/>
          <w:color w:val="auto"/>
          <w:kern w:val="2"/>
          <w:sz w:val="32"/>
          <w:szCs w:val="32"/>
          <w:highlight w:val="none"/>
          <w:lang w:val="en-US" w:eastAsia="zh-CN" w:bidi="ar-SA"/>
        </w:rPr>
        <w:t>100</w:t>
      </w:r>
      <w:r>
        <w:rPr>
          <w:rFonts w:hint="eastAsia" w:ascii="Times New Roman" w:hAnsi="Times New Roman" w:eastAsia="仿宋_GB2312" w:cs="仿宋_GB2312"/>
          <w:color w:val="auto"/>
          <w:kern w:val="2"/>
          <w:sz w:val="32"/>
          <w:szCs w:val="32"/>
          <w:highlight w:val="none"/>
          <w:lang w:val="en-US" w:eastAsia="zh-CN" w:bidi="ar-SA"/>
        </w:rPr>
        <w:t>%，</w:t>
      </w:r>
      <w:r>
        <w:rPr>
          <w:rStyle w:val="18"/>
          <w:rFonts w:hint="eastAsia" w:ascii="仿宋" w:hAnsi="仿宋" w:eastAsia="仿宋"/>
          <w:b w:val="0"/>
          <w:bCs/>
          <w:sz w:val="30"/>
          <w:szCs w:val="30"/>
        </w:rPr>
        <w:t>决算数与预算数持平</w:t>
      </w:r>
      <w:r>
        <w:rPr>
          <w:rStyle w:val="18"/>
          <w:rFonts w:hint="eastAsia" w:ascii="仿宋" w:hAnsi="仿宋" w:eastAsia="仿宋"/>
          <w:b w:val="0"/>
          <w:bCs/>
          <w:sz w:val="32"/>
          <w:szCs w:val="32"/>
        </w:rPr>
        <w:t>。</w:t>
      </w:r>
    </w:p>
    <w:p w14:paraId="764AD98A">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jc w:val="both"/>
        <w:textAlignment w:val="auto"/>
        <w:rPr>
          <w:rStyle w:val="18"/>
          <w:rFonts w:hint="eastAsia" w:ascii="仿宋" w:hAnsi="仿宋" w:eastAsia="仿宋"/>
          <w:b w:val="0"/>
          <w:bCs/>
          <w:sz w:val="32"/>
          <w:szCs w:val="32"/>
        </w:rPr>
      </w:pPr>
      <w:r>
        <w:rPr>
          <w:rFonts w:hint="eastAsia" w:ascii="Times New Roman" w:hAnsi="Times New Roman" w:eastAsia="仿宋_GB2312" w:cs="仿宋_GB2312"/>
          <w:color w:val="auto"/>
          <w:kern w:val="2"/>
          <w:sz w:val="32"/>
          <w:szCs w:val="32"/>
          <w:highlight w:val="none"/>
          <w:lang w:val="en-US" w:eastAsia="zh-CN" w:bidi="ar-SA"/>
        </w:rPr>
        <w:t>4.</w:t>
      </w:r>
      <w:r>
        <w:rPr>
          <w:rStyle w:val="18"/>
          <w:rFonts w:hint="eastAsia" w:ascii="仿宋" w:hAnsi="仿宋" w:eastAsia="仿宋"/>
          <w:b w:val="0"/>
          <w:bCs/>
          <w:sz w:val="32"/>
          <w:szCs w:val="32"/>
        </w:rPr>
        <w:t>文化旅游体育与传媒支出</w:t>
      </w:r>
      <w:r>
        <w:rPr>
          <w:rFonts w:hint="eastAsia" w:ascii="Times New Roman" w:hAnsi="Times New Roman" w:eastAsia="仿宋_GB2312" w:cs="仿宋_GB2312"/>
          <w:color w:val="auto"/>
          <w:kern w:val="2"/>
          <w:sz w:val="32"/>
          <w:szCs w:val="32"/>
          <w:highlight w:val="none"/>
          <w:lang w:val="en-US" w:eastAsia="zh-CN" w:bidi="ar-SA"/>
        </w:rPr>
        <w:t>（类）文物（款）博物馆（项）</w:t>
      </w:r>
      <w:r>
        <w:rPr>
          <w:rFonts w:hint="eastAsia" w:eastAsia="仿宋_GB2312" w:cs="仿宋_GB2312"/>
          <w:color w:val="auto"/>
          <w:kern w:val="2"/>
          <w:sz w:val="32"/>
          <w:szCs w:val="32"/>
          <w:highlight w:val="none"/>
          <w:lang w:val="en-US" w:eastAsia="zh-CN" w:bidi="ar-SA"/>
        </w:rPr>
        <w:t>：</w:t>
      </w:r>
      <w:r>
        <w:rPr>
          <w:rFonts w:hint="eastAsia" w:ascii="Times New Roman" w:hAnsi="Times New Roman" w:eastAsia="仿宋_GB2312" w:cs="仿宋_GB2312"/>
          <w:color w:val="auto"/>
          <w:kern w:val="2"/>
          <w:sz w:val="32"/>
          <w:szCs w:val="32"/>
          <w:highlight w:val="none"/>
          <w:lang w:val="en-US" w:eastAsia="zh-CN" w:bidi="ar-SA"/>
        </w:rPr>
        <w:t>支出决算为</w:t>
      </w:r>
      <w:r>
        <w:rPr>
          <w:rFonts w:hint="eastAsia" w:eastAsia="仿宋_GB2312" w:cs="仿宋_GB2312"/>
          <w:color w:val="auto"/>
          <w:kern w:val="2"/>
          <w:sz w:val="32"/>
          <w:szCs w:val="32"/>
          <w:highlight w:val="none"/>
          <w:lang w:val="en-US" w:eastAsia="zh-CN" w:bidi="ar-SA"/>
        </w:rPr>
        <w:t>49.99</w:t>
      </w:r>
      <w:r>
        <w:rPr>
          <w:rFonts w:hint="eastAsia" w:ascii="Times New Roman" w:hAnsi="Times New Roman" w:eastAsia="仿宋_GB2312" w:cs="仿宋_GB2312"/>
          <w:color w:val="auto"/>
          <w:kern w:val="2"/>
          <w:sz w:val="32"/>
          <w:szCs w:val="32"/>
          <w:highlight w:val="none"/>
          <w:lang w:val="en-US" w:eastAsia="zh-CN" w:bidi="ar-SA"/>
        </w:rPr>
        <w:t>万元，完成预算</w:t>
      </w:r>
      <w:r>
        <w:rPr>
          <w:rFonts w:hint="eastAsia" w:eastAsia="仿宋_GB2312" w:cs="仿宋_GB2312"/>
          <w:color w:val="auto"/>
          <w:kern w:val="2"/>
          <w:sz w:val="32"/>
          <w:szCs w:val="32"/>
          <w:highlight w:val="none"/>
          <w:lang w:val="en-US" w:eastAsia="zh-CN" w:bidi="ar-SA"/>
        </w:rPr>
        <w:t>100</w:t>
      </w:r>
      <w:r>
        <w:rPr>
          <w:rFonts w:hint="eastAsia" w:ascii="Times New Roman" w:hAnsi="Times New Roman" w:eastAsia="仿宋_GB2312" w:cs="仿宋_GB2312"/>
          <w:color w:val="auto"/>
          <w:kern w:val="2"/>
          <w:sz w:val="32"/>
          <w:szCs w:val="32"/>
          <w:highlight w:val="none"/>
          <w:lang w:val="en-US" w:eastAsia="zh-CN" w:bidi="ar-SA"/>
        </w:rPr>
        <w:t>%，</w:t>
      </w:r>
      <w:r>
        <w:rPr>
          <w:rStyle w:val="18"/>
          <w:rFonts w:hint="eastAsia" w:ascii="仿宋" w:hAnsi="仿宋" w:eastAsia="仿宋"/>
          <w:b w:val="0"/>
          <w:bCs/>
          <w:sz w:val="30"/>
          <w:szCs w:val="30"/>
        </w:rPr>
        <w:t>决算数与预算数持平</w:t>
      </w:r>
      <w:r>
        <w:rPr>
          <w:rStyle w:val="18"/>
          <w:rFonts w:hint="eastAsia" w:ascii="仿宋" w:hAnsi="仿宋" w:eastAsia="仿宋"/>
          <w:b w:val="0"/>
          <w:bCs/>
          <w:sz w:val="32"/>
          <w:szCs w:val="32"/>
        </w:rPr>
        <w:t>。</w:t>
      </w:r>
    </w:p>
    <w:p w14:paraId="29CF4018">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jc w:val="both"/>
        <w:textAlignment w:val="auto"/>
        <w:rPr>
          <w:rStyle w:val="18"/>
          <w:rFonts w:hint="eastAsia" w:ascii="仿宋" w:hAnsi="仿宋" w:eastAsia="仿宋"/>
          <w:b w:val="0"/>
          <w:bCs/>
          <w:sz w:val="32"/>
          <w:szCs w:val="32"/>
        </w:rPr>
      </w:pPr>
      <w:r>
        <w:rPr>
          <w:rFonts w:hint="eastAsia" w:ascii="Times New Roman" w:hAnsi="Times New Roman" w:eastAsia="仿宋_GB2312" w:cs="仿宋_GB2312"/>
          <w:color w:val="auto"/>
          <w:kern w:val="2"/>
          <w:sz w:val="32"/>
          <w:szCs w:val="32"/>
          <w:highlight w:val="none"/>
          <w:lang w:val="en-US" w:eastAsia="zh-CN" w:bidi="ar-SA"/>
        </w:rPr>
        <w:t>5.</w:t>
      </w:r>
      <w:r>
        <w:rPr>
          <w:rStyle w:val="18"/>
          <w:rFonts w:hint="eastAsia" w:ascii="仿宋" w:hAnsi="仿宋" w:eastAsia="仿宋"/>
          <w:b w:val="0"/>
          <w:bCs/>
          <w:sz w:val="32"/>
          <w:szCs w:val="32"/>
        </w:rPr>
        <w:t>文化旅游体育与传媒支出</w:t>
      </w:r>
      <w:r>
        <w:rPr>
          <w:rFonts w:hint="eastAsia" w:ascii="Times New Roman" w:hAnsi="Times New Roman" w:eastAsia="仿宋_GB2312" w:cs="仿宋_GB2312"/>
          <w:color w:val="auto"/>
          <w:kern w:val="2"/>
          <w:sz w:val="32"/>
          <w:szCs w:val="32"/>
          <w:highlight w:val="none"/>
          <w:lang w:val="en-US" w:eastAsia="zh-CN" w:bidi="ar-SA"/>
        </w:rPr>
        <w:t>（类）体育（款）体育场馆（项）</w:t>
      </w:r>
      <w:r>
        <w:rPr>
          <w:rFonts w:hint="eastAsia" w:eastAsia="仿宋_GB2312" w:cs="仿宋_GB2312"/>
          <w:color w:val="auto"/>
          <w:kern w:val="2"/>
          <w:sz w:val="32"/>
          <w:szCs w:val="32"/>
          <w:highlight w:val="none"/>
          <w:lang w:val="en-US" w:eastAsia="zh-CN" w:bidi="ar-SA"/>
        </w:rPr>
        <w:t>：</w:t>
      </w:r>
      <w:r>
        <w:rPr>
          <w:rFonts w:hint="eastAsia" w:ascii="Times New Roman" w:hAnsi="Times New Roman" w:eastAsia="仿宋_GB2312" w:cs="仿宋_GB2312"/>
          <w:color w:val="auto"/>
          <w:kern w:val="2"/>
          <w:sz w:val="32"/>
          <w:szCs w:val="32"/>
          <w:highlight w:val="none"/>
          <w:lang w:val="en-US" w:eastAsia="zh-CN" w:bidi="ar-SA"/>
        </w:rPr>
        <w:t>支出决算为</w:t>
      </w:r>
      <w:r>
        <w:rPr>
          <w:rFonts w:hint="eastAsia" w:eastAsia="仿宋_GB2312" w:cs="仿宋_GB2312"/>
          <w:color w:val="auto"/>
          <w:kern w:val="2"/>
          <w:sz w:val="32"/>
          <w:szCs w:val="32"/>
          <w:highlight w:val="none"/>
          <w:lang w:val="en-US" w:eastAsia="zh-CN" w:bidi="ar-SA"/>
        </w:rPr>
        <w:t>27.82</w:t>
      </w:r>
      <w:r>
        <w:rPr>
          <w:rFonts w:hint="eastAsia" w:ascii="Times New Roman" w:hAnsi="Times New Roman" w:eastAsia="仿宋_GB2312" w:cs="仿宋_GB2312"/>
          <w:color w:val="auto"/>
          <w:kern w:val="2"/>
          <w:sz w:val="32"/>
          <w:szCs w:val="32"/>
          <w:highlight w:val="none"/>
          <w:lang w:val="en-US" w:eastAsia="zh-CN" w:bidi="ar-SA"/>
        </w:rPr>
        <w:t>万元，完成预算</w:t>
      </w:r>
      <w:r>
        <w:rPr>
          <w:rFonts w:hint="eastAsia" w:eastAsia="仿宋_GB2312" w:cs="仿宋_GB2312"/>
          <w:color w:val="auto"/>
          <w:kern w:val="2"/>
          <w:sz w:val="32"/>
          <w:szCs w:val="32"/>
          <w:highlight w:val="none"/>
          <w:lang w:val="en-US" w:eastAsia="zh-CN" w:bidi="ar-SA"/>
        </w:rPr>
        <w:t>100</w:t>
      </w:r>
      <w:r>
        <w:rPr>
          <w:rFonts w:hint="eastAsia" w:ascii="Times New Roman" w:hAnsi="Times New Roman" w:eastAsia="仿宋_GB2312" w:cs="仿宋_GB2312"/>
          <w:color w:val="auto"/>
          <w:kern w:val="2"/>
          <w:sz w:val="32"/>
          <w:szCs w:val="32"/>
          <w:highlight w:val="none"/>
          <w:lang w:val="en-US" w:eastAsia="zh-CN" w:bidi="ar-SA"/>
        </w:rPr>
        <w:t>%，</w:t>
      </w:r>
      <w:r>
        <w:rPr>
          <w:rStyle w:val="18"/>
          <w:rFonts w:hint="eastAsia" w:ascii="仿宋" w:hAnsi="仿宋" w:eastAsia="仿宋"/>
          <w:b w:val="0"/>
          <w:bCs/>
          <w:sz w:val="30"/>
          <w:szCs w:val="30"/>
        </w:rPr>
        <w:t>决算数与预算数持平</w:t>
      </w:r>
      <w:r>
        <w:rPr>
          <w:rStyle w:val="18"/>
          <w:rFonts w:hint="eastAsia" w:ascii="仿宋" w:hAnsi="仿宋" w:eastAsia="仿宋"/>
          <w:b w:val="0"/>
          <w:bCs/>
          <w:sz w:val="32"/>
          <w:szCs w:val="32"/>
        </w:rPr>
        <w:t>。</w:t>
      </w:r>
    </w:p>
    <w:p w14:paraId="453E2759">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jc w:val="both"/>
        <w:textAlignment w:val="auto"/>
        <w:rPr>
          <w:rStyle w:val="18"/>
          <w:rFonts w:hint="eastAsia" w:ascii="仿宋" w:hAnsi="仿宋" w:eastAsia="仿宋"/>
          <w:b w:val="0"/>
          <w:bCs/>
          <w:sz w:val="32"/>
          <w:szCs w:val="32"/>
        </w:rPr>
      </w:pPr>
      <w:r>
        <w:rPr>
          <w:rFonts w:hint="eastAsia" w:ascii="Times New Roman" w:hAnsi="Times New Roman" w:eastAsia="仿宋_GB2312" w:cs="仿宋_GB2312"/>
          <w:color w:val="auto"/>
          <w:kern w:val="2"/>
          <w:sz w:val="32"/>
          <w:szCs w:val="32"/>
          <w:highlight w:val="none"/>
          <w:lang w:val="en-US" w:eastAsia="zh-CN" w:bidi="ar-SA"/>
        </w:rPr>
        <w:t>6.</w:t>
      </w:r>
      <w:r>
        <w:rPr>
          <w:rStyle w:val="18"/>
          <w:rFonts w:hint="eastAsia" w:ascii="仿宋" w:hAnsi="仿宋" w:eastAsia="仿宋"/>
          <w:b w:val="0"/>
          <w:bCs/>
          <w:sz w:val="32"/>
          <w:szCs w:val="32"/>
        </w:rPr>
        <w:t>文化旅游体育与传媒支出</w:t>
      </w:r>
      <w:r>
        <w:rPr>
          <w:rFonts w:hint="eastAsia" w:ascii="Times New Roman" w:hAnsi="Times New Roman" w:eastAsia="仿宋_GB2312" w:cs="仿宋_GB2312"/>
          <w:color w:val="auto"/>
          <w:kern w:val="2"/>
          <w:sz w:val="32"/>
          <w:szCs w:val="32"/>
          <w:highlight w:val="none"/>
          <w:lang w:val="en-US" w:eastAsia="zh-CN" w:bidi="ar-SA"/>
        </w:rPr>
        <w:t>（类）体育（款）其他体育支出（项）</w:t>
      </w:r>
      <w:r>
        <w:rPr>
          <w:rFonts w:hint="eastAsia" w:eastAsia="仿宋_GB2312" w:cs="仿宋_GB2312"/>
          <w:color w:val="auto"/>
          <w:kern w:val="2"/>
          <w:sz w:val="32"/>
          <w:szCs w:val="32"/>
          <w:highlight w:val="none"/>
          <w:lang w:val="en-US" w:eastAsia="zh-CN" w:bidi="ar-SA"/>
        </w:rPr>
        <w:t>：</w:t>
      </w:r>
      <w:r>
        <w:rPr>
          <w:rFonts w:hint="eastAsia" w:ascii="Times New Roman" w:hAnsi="Times New Roman" w:eastAsia="仿宋_GB2312" w:cs="仿宋_GB2312"/>
          <w:color w:val="auto"/>
          <w:kern w:val="2"/>
          <w:sz w:val="32"/>
          <w:szCs w:val="32"/>
          <w:highlight w:val="none"/>
          <w:lang w:val="en-US" w:eastAsia="zh-CN" w:bidi="ar-SA"/>
        </w:rPr>
        <w:t>支出决算为</w:t>
      </w:r>
      <w:r>
        <w:rPr>
          <w:rFonts w:hint="eastAsia" w:eastAsia="仿宋_GB2312" w:cs="仿宋_GB2312"/>
          <w:color w:val="auto"/>
          <w:kern w:val="2"/>
          <w:sz w:val="32"/>
          <w:szCs w:val="32"/>
          <w:highlight w:val="none"/>
          <w:lang w:val="en-US" w:eastAsia="zh-CN" w:bidi="ar-SA"/>
        </w:rPr>
        <w:t>15</w:t>
      </w:r>
      <w:r>
        <w:rPr>
          <w:rFonts w:hint="eastAsia" w:ascii="Times New Roman" w:hAnsi="Times New Roman" w:eastAsia="仿宋_GB2312" w:cs="仿宋_GB2312"/>
          <w:color w:val="auto"/>
          <w:kern w:val="2"/>
          <w:sz w:val="32"/>
          <w:szCs w:val="32"/>
          <w:highlight w:val="none"/>
          <w:lang w:val="en-US" w:eastAsia="zh-CN" w:bidi="ar-SA"/>
        </w:rPr>
        <w:t>万元，完成预算</w:t>
      </w:r>
      <w:r>
        <w:rPr>
          <w:rFonts w:hint="eastAsia" w:eastAsia="仿宋_GB2312" w:cs="仿宋_GB2312"/>
          <w:color w:val="auto"/>
          <w:kern w:val="2"/>
          <w:sz w:val="32"/>
          <w:szCs w:val="32"/>
          <w:highlight w:val="none"/>
          <w:lang w:val="en-US" w:eastAsia="zh-CN" w:bidi="ar-SA"/>
        </w:rPr>
        <w:t>100</w:t>
      </w:r>
      <w:r>
        <w:rPr>
          <w:rFonts w:hint="eastAsia" w:ascii="Times New Roman" w:hAnsi="Times New Roman" w:eastAsia="仿宋_GB2312" w:cs="仿宋_GB2312"/>
          <w:color w:val="auto"/>
          <w:kern w:val="2"/>
          <w:sz w:val="32"/>
          <w:szCs w:val="32"/>
          <w:highlight w:val="none"/>
          <w:lang w:val="en-US" w:eastAsia="zh-CN" w:bidi="ar-SA"/>
        </w:rPr>
        <w:t>%，</w:t>
      </w:r>
      <w:r>
        <w:rPr>
          <w:rStyle w:val="18"/>
          <w:rFonts w:hint="eastAsia" w:ascii="仿宋" w:hAnsi="仿宋" w:eastAsia="仿宋"/>
          <w:b w:val="0"/>
          <w:bCs/>
          <w:sz w:val="30"/>
          <w:szCs w:val="30"/>
        </w:rPr>
        <w:t>决算数与预算数持平</w:t>
      </w:r>
      <w:r>
        <w:rPr>
          <w:rStyle w:val="18"/>
          <w:rFonts w:hint="eastAsia" w:ascii="仿宋" w:hAnsi="仿宋" w:eastAsia="仿宋"/>
          <w:b w:val="0"/>
          <w:bCs/>
          <w:sz w:val="32"/>
          <w:szCs w:val="32"/>
        </w:rPr>
        <w:t>。</w:t>
      </w:r>
    </w:p>
    <w:p w14:paraId="22639015">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jc w:val="both"/>
        <w:textAlignment w:val="auto"/>
        <w:rPr>
          <w:rFonts w:hint="default" w:ascii="Times New Roman" w:hAnsi="Times New Roman" w:eastAsia="仿宋_GB2312" w:cs="仿宋_GB2312"/>
          <w:color w:val="auto"/>
          <w:kern w:val="2"/>
          <w:sz w:val="32"/>
          <w:szCs w:val="32"/>
          <w:highlight w:val="none"/>
          <w:lang w:val="en-US" w:eastAsia="zh-CN" w:bidi="ar-SA"/>
        </w:rPr>
      </w:pPr>
      <w:r>
        <w:rPr>
          <w:rFonts w:hint="eastAsia" w:eastAsia="仿宋_GB2312" w:cs="仿宋_GB2312"/>
          <w:color w:val="auto"/>
          <w:kern w:val="2"/>
          <w:sz w:val="32"/>
          <w:szCs w:val="32"/>
          <w:highlight w:val="none"/>
          <w:lang w:val="en-US" w:eastAsia="zh-CN" w:bidi="ar-SA"/>
        </w:rPr>
        <w:t>7.</w:t>
      </w:r>
      <w:r>
        <w:rPr>
          <w:rStyle w:val="18"/>
          <w:rFonts w:hint="eastAsia" w:ascii="仿宋" w:hAnsi="仿宋" w:eastAsia="仿宋"/>
          <w:b w:val="0"/>
          <w:bCs/>
          <w:sz w:val="32"/>
          <w:szCs w:val="32"/>
        </w:rPr>
        <w:t>文化旅游体育与传媒支出</w:t>
      </w:r>
      <w:r>
        <w:rPr>
          <w:rFonts w:hint="eastAsia" w:ascii="Times New Roman" w:hAnsi="Times New Roman" w:eastAsia="仿宋_GB2312" w:cs="仿宋_GB2312"/>
          <w:color w:val="auto"/>
          <w:kern w:val="2"/>
          <w:sz w:val="32"/>
          <w:szCs w:val="32"/>
          <w:highlight w:val="none"/>
          <w:lang w:val="en-US" w:eastAsia="zh-CN" w:bidi="ar-SA"/>
        </w:rPr>
        <w:t>（类）广播电视（款）其他广播电视支出（项）</w:t>
      </w:r>
      <w:r>
        <w:rPr>
          <w:rFonts w:hint="eastAsia" w:eastAsia="仿宋_GB2312" w:cs="仿宋_GB2312"/>
          <w:color w:val="auto"/>
          <w:kern w:val="2"/>
          <w:sz w:val="32"/>
          <w:szCs w:val="32"/>
          <w:highlight w:val="none"/>
          <w:lang w:val="en-US" w:eastAsia="zh-CN" w:bidi="ar-SA"/>
        </w:rPr>
        <w:t>：</w:t>
      </w:r>
      <w:r>
        <w:rPr>
          <w:rFonts w:hint="eastAsia" w:ascii="Times New Roman" w:hAnsi="Times New Roman" w:eastAsia="仿宋_GB2312" w:cs="仿宋_GB2312"/>
          <w:color w:val="auto"/>
          <w:kern w:val="2"/>
          <w:sz w:val="32"/>
          <w:szCs w:val="32"/>
          <w:highlight w:val="none"/>
          <w:lang w:val="en-US" w:eastAsia="zh-CN" w:bidi="ar-SA"/>
        </w:rPr>
        <w:t>支出决算为</w:t>
      </w:r>
      <w:r>
        <w:rPr>
          <w:rFonts w:hint="eastAsia" w:eastAsia="仿宋_GB2312" w:cs="仿宋_GB2312"/>
          <w:color w:val="auto"/>
          <w:kern w:val="2"/>
          <w:sz w:val="32"/>
          <w:szCs w:val="32"/>
          <w:highlight w:val="none"/>
          <w:lang w:val="en-US" w:eastAsia="zh-CN" w:bidi="ar-SA"/>
        </w:rPr>
        <w:t>172.64</w:t>
      </w:r>
      <w:r>
        <w:rPr>
          <w:rFonts w:hint="eastAsia" w:ascii="Times New Roman" w:hAnsi="Times New Roman" w:eastAsia="仿宋_GB2312" w:cs="仿宋_GB2312"/>
          <w:color w:val="auto"/>
          <w:kern w:val="2"/>
          <w:sz w:val="32"/>
          <w:szCs w:val="32"/>
          <w:highlight w:val="none"/>
          <w:lang w:val="en-US" w:eastAsia="zh-CN" w:bidi="ar-SA"/>
        </w:rPr>
        <w:t>万元，完成预算</w:t>
      </w:r>
      <w:r>
        <w:rPr>
          <w:rFonts w:hint="eastAsia" w:eastAsia="仿宋_GB2312" w:cs="仿宋_GB2312"/>
          <w:color w:val="auto"/>
          <w:kern w:val="2"/>
          <w:sz w:val="32"/>
          <w:szCs w:val="32"/>
          <w:highlight w:val="none"/>
          <w:lang w:val="en-US" w:eastAsia="zh-CN" w:bidi="ar-SA"/>
        </w:rPr>
        <w:t>100</w:t>
      </w:r>
      <w:r>
        <w:rPr>
          <w:rFonts w:hint="eastAsia" w:ascii="Times New Roman" w:hAnsi="Times New Roman" w:eastAsia="仿宋_GB2312" w:cs="仿宋_GB2312"/>
          <w:color w:val="auto"/>
          <w:kern w:val="2"/>
          <w:sz w:val="32"/>
          <w:szCs w:val="32"/>
          <w:highlight w:val="none"/>
          <w:lang w:val="en-US" w:eastAsia="zh-CN" w:bidi="ar-SA"/>
        </w:rPr>
        <w:t>%，</w:t>
      </w:r>
      <w:r>
        <w:rPr>
          <w:rStyle w:val="18"/>
          <w:rFonts w:hint="eastAsia" w:ascii="仿宋" w:hAnsi="仿宋" w:eastAsia="仿宋"/>
          <w:b w:val="0"/>
          <w:bCs/>
          <w:sz w:val="30"/>
          <w:szCs w:val="30"/>
        </w:rPr>
        <w:t>决算数与预算数持平</w:t>
      </w:r>
      <w:r>
        <w:rPr>
          <w:rStyle w:val="18"/>
          <w:rFonts w:hint="eastAsia" w:ascii="仿宋" w:hAnsi="仿宋" w:eastAsia="仿宋"/>
          <w:b w:val="0"/>
          <w:bCs/>
          <w:sz w:val="32"/>
          <w:szCs w:val="32"/>
        </w:rPr>
        <w:t>。</w:t>
      </w:r>
    </w:p>
    <w:p w14:paraId="102CBD90">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jc w:val="both"/>
        <w:textAlignment w:val="auto"/>
        <w:rPr>
          <w:rFonts w:hint="default" w:ascii="Times New Roman" w:hAnsi="Times New Roman" w:eastAsia="仿宋_GB2312" w:cs="仿宋_GB2312"/>
          <w:color w:val="auto"/>
          <w:kern w:val="2"/>
          <w:sz w:val="32"/>
          <w:szCs w:val="32"/>
          <w:highlight w:val="none"/>
          <w:lang w:val="en-US" w:eastAsia="zh-CN" w:bidi="ar-SA"/>
        </w:rPr>
      </w:pPr>
      <w:r>
        <w:rPr>
          <w:rFonts w:hint="eastAsia" w:eastAsia="仿宋_GB2312" w:cs="仿宋_GB2312"/>
          <w:color w:val="auto"/>
          <w:kern w:val="2"/>
          <w:sz w:val="32"/>
          <w:szCs w:val="32"/>
          <w:highlight w:val="none"/>
          <w:lang w:val="en-US" w:eastAsia="zh-CN" w:bidi="ar-SA"/>
        </w:rPr>
        <w:t>8.</w:t>
      </w:r>
      <w:r>
        <w:rPr>
          <w:rStyle w:val="18"/>
          <w:rFonts w:hint="eastAsia" w:ascii="仿宋" w:hAnsi="仿宋" w:eastAsia="仿宋"/>
          <w:b w:val="0"/>
          <w:bCs/>
          <w:sz w:val="32"/>
          <w:szCs w:val="32"/>
        </w:rPr>
        <w:t>文化旅游体育与传媒支出</w:t>
      </w:r>
      <w:r>
        <w:rPr>
          <w:rFonts w:hint="eastAsia" w:ascii="Times New Roman" w:hAnsi="Times New Roman" w:eastAsia="仿宋_GB2312" w:cs="仿宋_GB2312"/>
          <w:color w:val="auto"/>
          <w:kern w:val="2"/>
          <w:sz w:val="32"/>
          <w:szCs w:val="32"/>
          <w:highlight w:val="none"/>
          <w:lang w:val="en-US" w:eastAsia="zh-CN" w:bidi="ar-SA"/>
        </w:rPr>
        <w:t>（类）其他文化旅游体育与传媒支出（款）其他文化旅游体育与传媒支出（项）</w:t>
      </w:r>
      <w:r>
        <w:rPr>
          <w:rFonts w:hint="eastAsia" w:eastAsia="仿宋_GB2312" w:cs="仿宋_GB2312"/>
          <w:color w:val="auto"/>
          <w:kern w:val="2"/>
          <w:sz w:val="32"/>
          <w:szCs w:val="32"/>
          <w:highlight w:val="none"/>
          <w:lang w:val="en-US" w:eastAsia="zh-CN" w:bidi="ar-SA"/>
        </w:rPr>
        <w:t>：</w:t>
      </w:r>
      <w:r>
        <w:rPr>
          <w:rFonts w:hint="eastAsia" w:ascii="Times New Roman" w:hAnsi="Times New Roman" w:eastAsia="仿宋_GB2312" w:cs="仿宋_GB2312"/>
          <w:color w:val="auto"/>
          <w:kern w:val="2"/>
          <w:sz w:val="32"/>
          <w:szCs w:val="32"/>
          <w:highlight w:val="none"/>
          <w:lang w:val="en-US" w:eastAsia="zh-CN" w:bidi="ar-SA"/>
        </w:rPr>
        <w:t>支出决算为</w:t>
      </w:r>
      <w:r>
        <w:rPr>
          <w:rFonts w:hint="eastAsia" w:eastAsia="仿宋_GB2312" w:cs="仿宋_GB2312"/>
          <w:color w:val="auto"/>
          <w:kern w:val="2"/>
          <w:sz w:val="32"/>
          <w:szCs w:val="32"/>
          <w:highlight w:val="none"/>
          <w:lang w:val="en-US" w:eastAsia="zh-CN" w:bidi="ar-SA"/>
        </w:rPr>
        <w:t>247.69</w:t>
      </w:r>
      <w:r>
        <w:rPr>
          <w:rFonts w:hint="eastAsia" w:ascii="Times New Roman" w:hAnsi="Times New Roman" w:eastAsia="仿宋_GB2312" w:cs="仿宋_GB2312"/>
          <w:color w:val="auto"/>
          <w:kern w:val="2"/>
          <w:sz w:val="32"/>
          <w:szCs w:val="32"/>
          <w:highlight w:val="none"/>
          <w:lang w:val="en-US" w:eastAsia="zh-CN" w:bidi="ar-SA"/>
        </w:rPr>
        <w:t>万元，完成预算</w:t>
      </w:r>
      <w:r>
        <w:rPr>
          <w:rFonts w:hint="eastAsia" w:eastAsia="仿宋_GB2312" w:cs="仿宋_GB2312"/>
          <w:color w:val="auto"/>
          <w:kern w:val="2"/>
          <w:sz w:val="32"/>
          <w:szCs w:val="32"/>
          <w:highlight w:val="none"/>
          <w:lang w:val="en-US" w:eastAsia="zh-CN" w:bidi="ar-SA"/>
        </w:rPr>
        <w:t>100</w:t>
      </w:r>
      <w:r>
        <w:rPr>
          <w:rFonts w:hint="eastAsia" w:ascii="Times New Roman" w:hAnsi="Times New Roman" w:eastAsia="仿宋_GB2312" w:cs="仿宋_GB2312"/>
          <w:color w:val="auto"/>
          <w:kern w:val="2"/>
          <w:sz w:val="32"/>
          <w:szCs w:val="32"/>
          <w:highlight w:val="none"/>
          <w:lang w:val="en-US" w:eastAsia="zh-CN" w:bidi="ar-SA"/>
        </w:rPr>
        <w:t>%，</w:t>
      </w:r>
      <w:r>
        <w:rPr>
          <w:rStyle w:val="18"/>
          <w:rFonts w:hint="eastAsia" w:ascii="仿宋" w:hAnsi="仿宋" w:eastAsia="仿宋"/>
          <w:b w:val="0"/>
          <w:bCs/>
          <w:sz w:val="30"/>
          <w:szCs w:val="30"/>
        </w:rPr>
        <w:t>决算数与预算数持平</w:t>
      </w:r>
      <w:r>
        <w:rPr>
          <w:rStyle w:val="18"/>
          <w:rFonts w:hint="eastAsia" w:ascii="仿宋" w:hAnsi="仿宋" w:eastAsia="仿宋"/>
          <w:b w:val="0"/>
          <w:bCs/>
          <w:sz w:val="32"/>
          <w:szCs w:val="32"/>
        </w:rPr>
        <w:t>。</w:t>
      </w:r>
    </w:p>
    <w:p w14:paraId="7CF505F9">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jc w:val="both"/>
        <w:textAlignment w:val="auto"/>
        <w:rPr>
          <w:rFonts w:hint="default" w:ascii="Times New Roman" w:hAnsi="Times New Roman" w:eastAsia="仿宋_GB2312" w:cs="仿宋_GB2312"/>
          <w:color w:val="auto"/>
          <w:kern w:val="2"/>
          <w:sz w:val="32"/>
          <w:szCs w:val="32"/>
          <w:highlight w:val="none"/>
          <w:lang w:val="en-US" w:eastAsia="zh-CN" w:bidi="ar-SA"/>
        </w:rPr>
      </w:pPr>
      <w:r>
        <w:rPr>
          <w:rFonts w:hint="eastAsia" w:eastAsia="仿宋_GB2312" w:cs="仿宋_GB2312"/>
          <w:color w:val="auto"/>
          <w:kern w:val="2"/>
          <w:sz w:val="32"/>
          <w:szCs w:val="32"/>
          <w:highlight w:val="none"/>
          <w:lang w:val="en-US" w:eastAsia="zh-CN" w:bidi="ar-SA"/>
        </w:rPr>
        <w:t>9.社会保障和就业支出</w:t>
      </w:r>
      <w:r>
        <w:rPr>
          <w:rFonts w:hint="eastAsia" w:ascii="Times New Roman" w:hAnsi="Times New Roman" w:eastAsia="仿宋_GB2312" w:cs="仿宋_GB2312"/>
          <w:color w:val="auto"/>
          <w:kern w:val="2"/>
          <w:sz w:val="32"/>
          <w:szCs w:val="32"/>
          <w:highlight w:val="none"/>
          <w:lang w:val="en-US" w:eastAsia="zh-CN" w:bidi="ar-SA"/>
        </w:rPr>
        <w:t>（类）行政事业单位养老支出（款）机关事业单位基本养老保险缴费支出（项）</w:t>
      </w:r>
      <w:r>
        <w:rPr>
          <w:rFonts w:hint="eastAsia" w:eastAsia="仿宋_GB2312" w:cs="仿宋_GB2312"/>
          <w:color w:val="auto"/>
          <w:kern w:val="2"/>
          <w:sz w:val="32"/>
          <w:szCs w:val="32"/>
          <w:highlight w:val="none"/>
          <w:lang w:val="en-US" w:eastAsia="zh-CN" w:bidi="ar-SA"/>
        </w:rPr>
        <w:t>：</w:t>
      </w:r>
      <w:r>
        <w:rPr>
          <w:rFonts w:hint="eastAsia" w:ascii="Times New Roman" w:hAnsi="Times New Roman" w:eastAsia="仿宋_GB2312" w:cs="仿宋_GB2312"/>
          <w:color w:val="auto"/>
          <w:kern w:val="2"/>
          <w:sz w:val="32"/>
          <w:szCs w:val="32"/>
          <w:highlight w:val="none"/>
          <w:lang w:val="en-US" w:eastAsia="zh-CN" w:bidi="ar-SA"/>
        </w:rPr>
        <w:t>支出决算为</w:t>
      </w:r>
      <w:r>
        <w:rPr>
          <w:rFonts w:hint="eastAsia" w:eastAsia="仿宋_GB2312" w:cs="仿宋_GB2312"/>
          <w:color w:val="auto"/>
          <w:kern w:val="2"/>
          <w:sz w:val="32"/>
          <w:szCs w:val="32"/>
          <w:highlight w:val="none"/>
          <w:lang w:val="en-US" w:eastAsia="zh-CN" w:bidi="ar-SA"/>
        </w:rPr>
        <w:t>43.05</w:t>
      </w:r>
      <w:r>
        <w:rPr>
          <w:rFonts w:hint="eastAsia" w:ascii="Times New Roman" w:hAnsi="Times New Roman" w:eastAsia="仿宋_GB2312" w:cs="仿宋_GB2312"/>
          <w:color w:val="auto"/>
          <w:kern w:val="2"/>
          <w:sz w:val="32"/>
          <w:szCs w:val="32"/>
          <w:highlight w:val="none"/>
          <w:lang w:val="en-US" w:eastAsia="zh-CN" w:bidi="ar-SA"/>
        </w:rPr>
        <w:t>万元，完成预算</w:t>
      </w:r>
      <w:r>
        <w:rPr>
          <w:rFonts w:hint="eastAsia" w:eastAsia="仿宋_GB2312" w:cs="仿宋_GB2312"/>
          <w:color w:val="auto"/>
          <w:kern w:val="2"/>
          <w:sz w:val="32"/>
          <w:szCs w:val="32"/>
          <w:highlight w:val="none"/>
          <w:lang w:val="en-US" w:eastAsia="zh-CN" w:bidi="ar-SA"/>
        </w:rPr>
        <w:t>100</w:t>
      </w:r>
      <w:r>
        <w:rPr>
          <w:rFonts w:hint="eastAsia" w:ascii="Times New Roman" w:hAnsi="Times New Roman" w:eastAsia="仿宋_GB2312" w:cs="仿宋_GB2312"/>
          <w:color w:val="auto"/>
          <w:kern w:val="2"/>
          <w:sz w:val="32"/>
          <w:szCs w:val="32"/>
          <w:highlight w:val="none"/>
          <w:lang w:val="en-US" w:eastAsia="zh-CN" w:bidi="ar-SA"/>
        </w:rPr>
        <w:t>%，</w:t>
      </w:r>
      <w:r>
        <w:rPr>
          <w:rStyle w:val="18"/>
          <w:rFonts w:hint="eastAsia" w:ascii="仿宋" w:hAnsi="仿宋" w:eastAsia="仿宋"/>
          <w:b w:val="0"/>
          <w:bCs/>
          <w:sz w:val="30"/>
          <w:szCs w:val="30"/>
        </w:rPr>
        <w:t>决算数与预算数持平</w:t>
      </w:r>
      <w:r>
        <w:rPr>
          <w:rStyle w:val="18"/>
          <w:rFonts w:hint="eastAsia" w:ascii="仿宋" w:hAnsi="仿宋" w:eastAsia="仿宋"/>
          <w:b w:val="0"/>
          <w:bCs/>
          <w:sz w:val="32"/>
          <w:szCs w:val="32"/>
        </w:rPr>
        <w:t>。</w:t>
      </w:r>
    </w:p>
    <w:p w14:paraId="4D828158">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jc w:val="both"/>
        <w:textAlignment w:val="auto"/>
        <w:rPr>
          <w:rFonts w:hint="default" w:ascii="Times New Roman" w:hAnsi="Times New Roman" w:eastAsia="仿宋_GB2312" w:cs="仿宋_GB2312"/>
          <w:color w:val="auto"/>
          <w:kern w:val="2"/>
          <w:sz w:val="32"/>
          <w:szCs w:val="32"/>
          <w:highlight w:val="none"/>
          <w:lang w:val="en-US" w:eastAsia="zh-CN" w:bidi="ar-SA"/>
        </w:rPr>
      </w:pPr>
      <w:r>
        <w:rPr>
          <w:rFonts w:hint="eastAsia" w:eastAsia="仿宋_GB2312" w:cs="仿宋_GB2312"/>
          <w:color w:val="auto"/>
          <w:kern w:val="2"/>
          <w:sz w:val="32"/>
          <w:szCs w:val="32"/>
          <w:highlight w:val="none"/>
          <w:lang w:val="en-US" w:eastAsia="zh-CN" w:bidi="ar-SA"/>
        </w:rPr>
        <w:t>10.社会保障和就业支出</w:t>
      </w:r>
      <w:r>
        <w:rPr>
          <w:rFonts w:hint="eastAsia" w:ascii="Times New Roman" w:hAnsi="Times New Roman" w:eastAsia="仿宋_GB2312" w:cs="仿宋_GB2312"/>
          <w:color w:val="auto"/>
          <w:kern w:val="2"/>
          <w:sz w:val="32"/>
          <w:szCs w:val="32"/>
          <w:highlight w:val="none"/>
          <w:lang w:val="en-US" w:eastAsia="zh-CN" w:bidi="ar-SA"/>
        </w:rPr>
        <w:t>（类）行政事业单位养老支出（款）机关事业单位职业年金缴费支出（项）</w:t>
      </w:r>
      <w:r>
        <w:rPr>
          <w:rFonts w:hint="eastAsia" w:eastAsia="仿宋_GB2312" w:cs="仿宋_GB2312"/>
          <w:color w:val="auto"/>
          <w:kern w:val="2"/>
          <w:sz w:val="32"/>
          <w:szCs w:val="32"/>
          <w:highlight w:val="none"/>
          <w:lang w:val="en-US" w:eastAsia="zh-CN" w:bidi="ar-SA"/>
        </w:rPr>
        <w:t>：</w:t>
      </w:r>
      <w:r>
        <w:rPr>
          <w:rFonts w:hint="eastAsia" w:ascii="Times New Roman" w:hAnsi="Times New Roman" w:eastAsia="仿宋_GB2312" w:cs="仿宋_GB2312"/>
          <w:color w:val="auto"/>
          <w:kern w:val="2"/>
          <w:sz w:val="32"/>
          <w:szCs w:val="32"/>
          <w:highlight w:val="none"/>
          <w:lang w:val="en-US" w:eastAsia="zh-CN" w:bidi="ar-SA"/>
        </w:rPr>
        <w:t>支出决算为</w:t>
      </w:r>
      <w:r>
        <w:rPr>
          <w:rFonts w:hint="eastAsia" w:eastAsia="仿宋_GB2312" w:cs="仿宋_GB2312"/>
          <w:color w:val="auto"/>
          <w:kern w:val="2"/>
          <w:sz w:val="32"/>
          <w:szCs w:val="32"/>
          <w:highlight w:val="none"/>
          <w:lang w:val="en-US" w:eastAsia="zh-CN" w:bidi="ar-SA"/>
        </w:rPr>
        <w:t>21.52</w:t>
      </w:r>
      <w:r>
        <w:rPr>
          <w:rFonts w:hint="eastAsia" w:ascii="Times New Roman" w:hAnsi="Times New Roman" w:eastAsia="仿宋_GB2312" w:cs="仿宋_GB2312"/>
          <w:color w:val="auto"/>
          <w:kern w:val="2"/>
          <w:sz w:val="32"/>
          <w:szCs w:val="32"/>
          <w:highlight w:val="none"/>
          <w:lang w:val="en-US" w:eastAsia="zh-CN" w:bidi="ar-SA"/>
        </w:rPr>
        <w:t>万元，完成预算</w:t>
      </w:r>
      <w:r>
        <w:rPr>
          <w:rFonts w:hint="eastAsia" w:eastAsia="仿宋_GB2312" w:cs="仿宋_GB2312"/>
          <w:color w:val="auto"/>
          <w:kern w:val="2"/>
          <w:sz w:val="32"/>
          <w:szCs w:val="32"/>
          <w:highlight w:val="none"/>
          <w:lang w:val="en-US" w:eastAsia="zh-CN" w:bidi="ar-SA"/>
        </w:rPr>
        <w:t>100</w:t>
      </w:r>
      <w:r>
        <w:rPr>
          <w:rFonts w:hint="eastAsia" w:ascii="Times New Roman" w:hAnsi="Times New Roman" w:eastAsia="仿宋_GB2312" w:cs="仿宋_GB2312"/>
          <w:color w:val="auto"/>
          <w:kern w:val="2"/>
          <w:sz w:val="32"/>
          <w:szCs w:val="32"/>
          <w:highlight w:val="none"/>
          <w:lang w:val="en-US" w:eastAsia="zh-CN" w:bidi="ar-SA"/>
        </w:rPr>
        <w:t>%，</w:t>
      </w:r>
      <w:r>
        <w:rPr>
          <w:rStyle w:val="18"/>
          <w:rFonts w:hint="eastAsia" w:ascii="仿宋" w:hAnsi="仿宋" w:eastAsia="仿宋"/>
          <w:b w:val="0"/>
          <w:bCs/>
          <w:sz w:val="30"/>
          <w:szCs w:val="30"/>
        </w:rPr>
        <w:t>决算数与预算数持平</w:t>
      </w:r>
      <w:r>
        <w:rPr>
          <w:rStyle w:val="18"/>
          <w:rFonts w:hint="eastAsia" w:ascii="仿宋" w:hAnsi="仿宋" w:eastAsia="仿宋"/>
          <w:b w:val="0"/>
          <w:bCs/>
          <w:sz w:val="32"/>
          <w:szCs w:val="32"/>
        </w:rPr>
        <w:t>。</w:t>
      </w:r>
    </w:p>
    <w:p w14:paraId="69200BBD">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jc w:val="both"/>
        <w:textAlignment w:val="auto"/>
        <w:rPr>
          <w:rFonts w:hint="eastAsia" w:eastAsia="仿宋_GB2312" w:cs="仿宋_GB2312"/>
          <w:color w:val="auto"/>
          <w:kern w:val="2"/>
          <w:sz w:val="32"/>
          <w:szCs w:val="32"/>
          <w:highlight w:val="none"/>
          <w:lang w:val="en-US" w:eastAsia="zh-CN" w:bidi="ar-SA"/>
        </w:rPr>
      </w:pPr>
      <w:r>
        <w:rPr>
          <w:rFonts w:hint="eastAsia" w:eastAsia="仿宋_GB2312" w:cs="仿宋_GB2312"/>
          <w:color w:val="auto"/>
          <w:kern w:val="2"/>
          <w:sz w:val="32"/>
          <w:szCs w:val="32"/>
          <w:highlight w:val="none"/>
          <w:lang w:val="en-US" w:eastAsia="zh-CN" w:bidi="ar-SA"/>
        </w:rPr>
        <w:t>11.社会保障和就业支出</w:t>
      </w:r>
      <w:r>
        <w:rPr>
          <w:rFonts w:hint="eastAsia" w:ascii="Times New Roman" w:hAnsi="Times New Roman" w:eastAsia="仿宋_GB2312" w:cs="仿宋_GB2312"/>
          <w:color w:val="auto"/>
          <w:kern w:val="2"/>
          <w:sz w:val="32"/>
          <w:szCs w:val="32"/>
          <w:highlight w:val="none"/>
          <w:lang w:val="en-US" w:eastAsia="zh-CN" w:bidi="ar-SA"/>
        </w:rPr>
        <w:t>（类）行政事业单位养老支出（款）其他行政事业单位养老支出（项）</w:t>
      </w:r>
      <w:r>
        <w:rPr>
          <w:rFonts w:hint="eastAsia" w:eastAsia="仿宋_GB2312" w:cs="仿宋_GB2312"/>
          <w:color w:val="auto"/>
          <w:kern w:val="2"/>
          <w:sz w:val="32"/>
          <w:szCs w:val="32"/>
          <w:highlight w:val="none"/>
          <w:lang w:val="en-US" w:eastAsia="zh-CN" w:bidi="ar-SA"/>
        </w:rPr>
        <w:t>：</w:t>
      </w:r>
      <w:r>
        <w:rPr>
          <w:rFonts w:hint="eastAsia" w:ascii="Times New Roman" w:hAnsi="Times New Roman" w:eastAsia="仿宋_GB2312" w:cs="仿宋_GB2312"/>
          <w:color w:val="auto"/>
          <w:kern w:val="2"/>
          <w:sz w:val="32"/>
          <w:szCs w:val="32"/>
          <w:highlight w:val="none"/>
          <w:lang w:val="en-US" w:eastAsia="zh-CN" w:bidi="ar-SA"/>
        </w:rPr>
        <w:t>支出决算为</w:t>
      </w:r>
      <w:r>
        <w:rPr>
          <w:rFonts w:hint="eastAsia" w:eastAsia="仿宋_GB2312" w:cs="仿宋_GB2312"/>
          <w:color w:val="auto"/>
          <w:kern w:val="2"/>
          <w:sz w:val="32"/>
          <w:szCs w:val="32"/>
          <w:highlight w:val="none"/>
          <w:lang w:val="en-US" w:eastAsia="zh-CN" w:bidi="ar-SA"/>
        </w:rPr>
        <w:t>4.8</w:t>
      </w:r>
      <w:r>
        <w:rPr>
          <w:rFonts w:hint="eastAsia" w:ascii="Times New Roman" w:hAnsi="Times New Roman" w:eastAsia="仿宋_GB2312" w:cs="仿宋_GB2312"/>
          <w:color w:val="auto"/>
          <w:kern w:val="2"/>
          <w:sz w:val="32"/>
          <w:szCs w:val="32"/>
          <w:highlight w:val="none"/>
          <w:lang w:val="en-US" w:eastAsia="zh-CN" w:bidi="ar-SA"/>
        </w:rPr>
        <w:t>万元，完成预算</w:t>
      </w:r>
      <w:r>
        <w:rPr>
          <w:rFonts w:hint="eastAsia" w:eastAsia="仿宋_GB2312" w:cs="仿宋_GB2312"/>
          <w:color w:val="auto"/>
          <w:kern w:val="2"/>
          <w:sz w:val="32"/>
          <w:szCs w:val="32"/>
          <w:highlight w:val="none"/>
          <w:lang w:val="en-US" w:eastAsia="zh-CN" w:bidi="ar-SA"/>
        </w:rPr>
        <w:t>100</w:t>
      </w:r>
      <w:r>
        <w:rPr>
          <w:rFonts w:hint="eastAsia" w:ascii="Times New Roman" w:hAnsi="Times New Roman" w:eastAsia="仿宋_GB2312" w:cs="仿宋_GB2312"/>
          <w:color w:val="auto"/>
          <w:kern w:val="2"/>
          <w:sz w:val="32"/>
          <w:szCs w:val="32"/>
          <w:highlight w:val="none"/>
          <w:lang w:val="en-US" w:eastAsia="zh-CN" w:bidi="ar-SA"/>
        </w:rPr>
        <w:t>%，</w:t>
      </w:r>
      <w:r>
        <w:rPr>
          <w:rStyle w:val="18"/>
          <w:rFonts w:hint="eastAsia" w:ascii="仿宋" w:hAnsi="仿宋" w:eastAsia="仿宋"/>
          <w:b w:val="0"/>
          <w:bCs/>
          <w:sz w:val="30"/>
          <w:szCs w:val="30"/>
        </w:rPr>
        <w:t>决算数与预算数持平</w:t>
      </w:r>
      <w:r>
        <w:rPr>
          <w:rStyle w:val="18"/>
          <w:rFonts w:hint="eastAsia" w:ascii="仿宋" w:hAnsi="仿宋" w:eastAsia="仿宋"/>
          <w:b w:val="0"/>
          <w:bCs/>
          <w:sz w:val="32"/>
          <w:szCs w:val="32"/>
        </w:rPr>
        <w:t>。</w:t>
      </w:r>
    </w:p>
    <w:p w14:paraId="312B66BC">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jc w:val="both"/>
        <w:textAlignment w:val="auto"/>
        <w:rPr>
          <w:rFonts w:hint="eastAsia" w:eastAsia="仿宋_GB2312" w:cs="仿宋_GB2312"/>
          <w:color w:val="auto"/>
          <w:kern w:val="2"/>
          <w:sz w:val="32"/>
          <w:szCs w:val="32"/>
          <w:highlight w:val="none"/>
          <w:lang w:val="en-US" w:eastAsia="zh-CN" w:bidi="ar-SA"/>
        </w:rPr>
      </w:pPr>
      <w:r>
        <w:rPr>
          <w:rFonts w:hint="eastAsia" w:eastAsia="仿宋_GB2312" w:cs="仿宋_GB2312"/>
          <w:color w:val="auto"/>
          <w:kern w:val="2"/>
          <w:sz w:val="32"/>
          <w:szCs w:val="32"/>
          <w:highlight w:val="none"/>
          <w:lang w:val="en-US" w:eastAsia="zh-CN" w:bidi="ar-SA"/>
        </w:rPr>
        <w:t>12.社会保障和就业支出</w:t>
      </w:r>
      <w:r>
        <w:rPr>
          <w:rFonts w:hint="eastAsia" w:ascii="Times New Roman" w:hAnsi="Times New Roman" w:eastAsia="仿宋_GB2312" w:cs="仿宋_GB2312"/>
          <w:color w:val="auto"/>
          <w:kern w:val="2"/>
          <w:sz w:val="32"/>
          <w:szCs w:val="32"/>
          <w:highlight w:val="none"/>
          <w:lang w:val="en-US" w:eastAsia="zh-CN" w:bidi="ar-SA"/>
        </w:rPr>
        <w:t>（类）残疾人事业（款）残疾人就业（项）</w:t>
      </w:r>
      <w:r>
        <w:rPr>
          <w:rFonts w:hint="eastAsia" w:eastAsia="仿宋_GB2312" w:cs="仿宋_GB2312"/>
          <w:color w:val="auto"/>
          <w:kern w:val="2"/>
          <w:sz w:val="32"/>
          <w:szCs w:val="32"/>
          <w:highlight w:val="none"/>
          <w:lang w:val="en-US" w:eastAsia="zh-CN" w:bidi="ar-SA"/>
        </w:rPr>
        <w:t>：</w:t>
      </w:r>
      <w:r>
        <w:rPr>
          <w:rFonts w:hint="eastAsia" w:ascii="Times New Roman" w:hAnsi="Times New Roman" w:eastAsia="仿宋_GB2312" w:cs="仿宋_GB2312"/>
          <w:color w:val="auto"/>
          <w:kern w:val="2"/>
          <w:sz w:val="32"/>
          <w:szCs w:val="32"/>
          <w:highlight w:val="none"/>
          <w:lang w:val="en-US" w:eastAsia="zh-CN" w:bidi="ar-SA"/>
        </w:rPr>
        <w:t>支出决算为</w:t>
      </w:r>
      <w:r>
        <w:rPr>
          <w:rFonts w:hint="eastAsia" w:eastAsia="仿宋_GB2312" w:cs="仿宋_GB2312"/>
          <w:color w:val="auto"/>
          <w:kern w:val="2"/>
          <w:sz w:val="32"/>
          <w:szCs w:val="32"/>
          <w:highlight w:val="none"/>
          <w:lang w:val="en-US" w:eastAsia="zh-CN" w:bidi="ar-SA"/>
        </w:rPr>
        <w:t>4.01</w:t>
      </w:r>
      <w:r>
        <w:rPr>
          <w:rFonts w:hint="eastAsia" w:ascii="Times New Roman" w:hAnsi="Times New Roman" w:eastAsia="仿宋_GB2312" w:cs="仿宋_GB2312"/>
          <w:color w:val="auto"/>
          <w:kern w:val="2"/>
          <w:sz w:val="32"/>
          <w:szCs w:val="32"/>
          <w:highlight w:val="none"/>
          <w:lang w:val="en-US" w:eastAsia="zh-CN" w:bidi="ar-SA"/>
        </w:rPr>
        <w:t>万元，完成预算</w:t>
      </w:r>
      <w:r>
        <w:rPr>
          <w:rFonts w:hint="eastAsia" w:eastAsia="仿宋_GB2312" w:cs="仿宋_GB2312"/>
          <w:color w:val="auto"/>
          <w:kern w:val="2"/>
          <w:sz w:val="32"/>
          <w:szCs w:val="32"/>
          <w:highlight w:val="none"/>
          <w:lang w:val="en-US" w:eastAsia="zh-CN" w:bidi="ar-SA"/>
        </w:rPr>
        <w:t>100</w:t>
      </w:r>
      <w:r>
        <w:rPr>
          <w:rFonts w:hint="eastAsia" w:ascii="Times New Roman" w:hAnsi="Times New Roman" w:eastAsia="仿宋_GB2312" w:cs="仿宋_GB2312"/>
          <w:color w:val="auto"/>
          <w:kern w:val="2"/>
          <w:sz w:val="32"/>
          <w:szCs w:val="32"/>
          <w:highlight w:val="none"/>
          <w:lang w:val="en-US" w:eastAsia="zh-CN" w:bidi="ar-SA"/>
        </w:rPr>
        <w:t>%，</w:t>
      </w:r>
      <w:r>
        <w:rPr>
          <w:rStyle w:val="18"/>
          <w:rFonts w:hint="eastAsia" w:ascii="仿宋" w:hAnsi="仿宋" w:eastAsia="仿宋"/>
          <w:b w:val="0"/>
          <w:bCs/>
          <w:sz w:val="30"/>
          <w:szCs w:val="30"/>
        </w:rPr>
        <w:t>决算数与预算数持平</w:t>
      </w:r>
      <w:r>
        <w:rPr>
          <w:rStyle w:val="18"/>
          <w:rFonts w:hint="eastAsia" w:ascii="仿宋" w:hAnsi="仿宋" w:eastAsia="仿宋"/>
          <w:b w:val="0"/>
          <w:bCs/>
          <w:sz w:val="32"/>
          <w:szCs w:val="32"/>
        </w:rPr>
        <w:t>。</w:t>
      </w:r>
    </w:p>
    <w:p w14:paraId="529F9441">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jc w:val="both"/>
        <w:textAlignment w:val="auto"/>
        <w:rPr>
          <w:rFonts w:hint="eastAsia" w:eastAsia="仿宋_GB2312" w:cs="仿宋_GB2312"/>
          <w:color w:val="auto"/>
          <w:kern w:val="2"/>
          <w:sz w:val="32"/>
          <w:szCs w:val="32"/>
          <w:highlight w:val="none"/>
          <w:lang w:val="en-US" w:eastAsia="zh-CN" w:bidi="ar-SA"/>
        </w:rPr>
      </w:pPr>
      <w:r>
        <w:rPr>
          <w:rFonts w:hint="eastAsia" w:eastAsia="仿宋_GB2312" w:cs="仿宋_GB2312"/>
          <w:color w:val="auto"/>
          <w:kern w:val="2"/>
          <w:sz w:val="32"/>
          <w:szCs w:val="32"/>
          <w:highlight w:val="none"/>
          <w:lang w:val="en-US" w:eastAsia="zh-CN" w:bidi="ar-SA"/>
        </w:rPr>
        <w:t>13.社会保障和就业支出</w:t>
      </w:r>
      <w:r>
        <w:rPr>
          <w:rFonts w:hint="eastAsia" w:ascii="Times New Roman" w:hAnsi="Times New Roman" w:eastAsia="仿宋_GB2312" w:cs="仿宋_GB2312"/>
          <w:color w:val="auto"/>
          <w:kern w:val="2"/>
          <w:sz w:val="32"/>
          <w:szCs w:val="32"/>
          <w:highlight w:val="none"/>
          <w:lang w:val="en-US" w:eastAsia="zh-CN" w:bidi="ar-SA"/>
        </w:rPr>
        <w:t>（类）其他社会保障和就业支出（款）其他社会保障和就业支出（项）</w:t>
      </w:r>
      <w:r>
        <w:rPr>
          <w:rFonts w:hint="eastAsia" w:eastAsia="仿宋_GB2312" w:cs="仿宋_GB2312"/>
          <w:color w:val="auto"/>
          <w:kern w:val="2"/>
          <w:sz w:val="32"/>
          <w:szCs w:val="32"/>
          <w:highlight w:val="none"/>
          <w:lang w:val="en-US" w:eastAsia="zh-CN" w:bidi="ar-SA"/>
        </w:rPr>
        <w:t>：</w:t>
      </w:r>
      <w:r>
        <w:rPr>
          <w:rFonts w:hint="eastAsia" w:ascii="Times New Roman" w:hAnsi="Times New Roman" w:eastAsia="仿宋_GB2312" w:cs="仿宋_GB2312"/>
          <w:color w:val="auto"/>
          <w:kern w:val="2"/>
          <w:sz w:val="32"/>
          <w:szCs w:val="32"/>
          <w:highlight w:val="none"/>
          <w:lang w:val="en-US" w:eastAsia="zh-CN" w:bidi="ar-SA"/>
        </w:rPr>
        <w:t>支出决算为</w:t>
      </w:r>
      <w:r>
        <w:rPr>
          <w:rFonts w:hint="eastAsia" w:eastAsia="仿宋_GB2312" w:cs="仿宋_GB2312"/>
          <w:color w:val="auto"/>
          <w:kern w:val="2"/>
          <w:sz w:val="32"/>
          <w:szCs w:val="32"/>
          <w:highlight w:val="none"/>
          <w:lang w:val="en-US" w:eastAsia="zh-CN" w:bidi="ar-SA"/>
        </w:rPr>
        <w:t>1.51</w:t>
      </w:r>
      <w:r>
        <w:rPr>
          <w:rFonts w:hint="eastAsia" w:ascii="Times New Roman" w:hAnsi="Times New Roman" w:eastAsia="仿宋_GB2312" w:cs="仿宋_GB2312"/>
          <w:color w:val="auto"/>
          <w:kern w:val="2"/>
          <w:sz w:val="32"/>
          <w:szCs w:val="32"/>
          <w:highlight w:val="none"/>
          <w:lang w:val="en-US" w:eastAsia="zh-CN" w:bidi="ar-SA"/>
        </w:rPr>
        <w:t>万元，完成预算</w:t>
      </w:r>
      <w:r>
        <w:rPr>
          <w:rFonts w:hint="eastAsia" w:eastAsia="仿宋_GB2312" w:cs="仿宋_GB2312"/>
          <w:color w:val="auto"/>
          <w:kern w:val="2"/>
          <w:sz w:val="32"/>
          <w:szCs w:val="32"/>
          <w:highlight w:val="none"/>
          <w:lang w:val="en-US" w:eastAsia="zh-CN" w:bidi="ar-SA"/>
        </w:rPr>
        <w:t>100</w:t>
      </w:r>
      <w:r>
        <w:rPr>
          <w:rFonts w:hint="eastAsia" w:ascii="Times New Roman" w:hAnsi="Times New Roman" w:eastAsia="仿宋_GB2312" w:cs="仿宋_GB2312"/>
          <w:color w:val="auto"/>
          <w:kern w:val="2"/>
          <w:sz w:val="32"/>
          <w:szCs w:val="32"/>
          <w:highlight w:val="none"/>
          <w:lang w:val="en-US" w:eastAsia="zh-CN" w:bidi="ar-SA"/>
        </w:rPr>
        <w:t>%，</w:t>
      </w:r>
      <w:r>
        <w:rPr>
          <w:rStyle w:val="18"/>
          <w:rFonts w:hint="eastAsia" w:ascii="仿宋" w:hAnsi="仿宋" w:eastAsia="仿宋"/>
          <w:b w:val="0"/>
          <w:bCs/>
          <w:sz w:val="30"/>
          <w:szCs w:val="30"/>
        </w:rPr>
        <w:t>决算数与预算数持平</w:t>
      </w:r>
      <w:r>
        <w:rPr>
          <w:rStyle w:val="18"/>
          <w:rFonts w:hint="eastAsia" w:ascii="仿宋" w:hAnsi="仿宋" w:eastAsia="仿宋"/>
          <w:b w:val="0"/>
          <w:bCs/>
          <w:sz w:val="32"/>
          <w:szCs w:val="32"/>
        </w:rPr>
        <w:t>。</w:t>
      </w:r>
    </w:p>
    <w:p w14:paraId="2E6E7709">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jc w:val="both"/>
        <w:textAlignment w:val="auto"/>
        <w:rPr>
          <w:rFonts w:hint="eastAsia" w:eastAsia="仿宋_GB2312" w:cs="仿宋_GB2312"/>
          <w:color w:val="auto"/>
          <w:kern w:val="2"/>
          <w:sz w:val="32"/>
          <w:szCs w:val="32"/>
          <w:highlight w:val="none"/>
          <w:lang w:val="en-US" w:eastAsia="zh-CN" w:bidi="ar-SA"/>
        </w:rPr>
      </w:pPr>
      <w:r>
        <w:rPr>
          <w:rFonts w:hint="eastAsia" w:eastAsia="仿宋_GB2312" w:cs="仿宋_GB2312"/>
          <w:color w:val="auto"/>
          <w:kern w:val="2"/>
          <w:sz w:val="32"/>
          <w:szCs w:val="32"/>
          <w:highlight w:val="none"/>
          <w:lang w:val="en-US" w:eastAsia="zh-CN" w:bidi="ar-SA"/>
        </w:rPr>
        <w:t>14.卫生健康支出</w:t>
      </w:r>
      <w:r>
        <w:rPr>
          <w:rFonts w:hint="eastAsia" w:ascii="Times New Roman" w:hAnsi="Times New Roman" w:eastAsia="仿宋_GB2312" w:cs="仿宋_GB2312"/>
          <w:color w:val="auto"/>
          <w:kern w:val="2"/>
          <w:sz w:val="32"/>
          <w:szCs w:val="32"/>
          <w:highlight w:val="none"/>
          <w:lang w:val="en-US" w:eastAsia="zh-CN" w:bidi="ar-SA"/>
        </w:rPr>
        <w:t>（类）行政事业单位医疗（款）行政单位医疗（项）</w:t>
      </w:r>
      <w:r>
        <w:rPr>
          <w:rFonts w:hint="eastAsia" w:eastAsia="仿宋_GB2312" w:cs="仿宋_GB2312"/>
          <w:color w:val="auto"/>
          <w:kern w:val="2"/>
          <w:sz w:val="32"/>
          <w:szCs w:val="32"/>
          <w:highlight w:val="none"/>
          <w:lang w:val="en-US" w:eastAsia="zh-CN" w:bidi="ar-SA"/>
        </w:rPr>
        <w:t>：</w:t>
      </w:r>
      <w:r>
        <w:rPr>
          <w:rFonts w:hint="eastAsia" w:ascii="Times New Roman" w:hAnsi="Times New Roman" w:eastAsia="仿宋_GB2312" w:cs="仿宋_GB2312"/>
          <w:color w:val="auto"/>
          <w:kern w:val="2"/>
          <w:sz w:val="32"/>
          <w:szCs w:val="32"/>
          <w:highlight w:val="none"/>
          <w:lang w:val="en-US" w:eastAsia="zh-CN" w:bidi="ar-SA"/>
        </w:rPr>
        <w:t>支出决算为</w:t>
      </w:r>
      <w:r>
        <w:rPr>
          <w:rFonts w:hint="eastAsia" w:eastAsia="仿宋_GB2312" w:cs="仿宋_GB2312"/>
          <w:color w:val="auto"/>
          <w:kern w:val="2"/>
          <w:sz w:val="32"/>
          <w:szCs w:val="32"/>
          <w:highlight w:val="none"/>
          <w:lang w:val="en-US" w:eastAsia="zh-CN" w:bidi="ar-SA"/>
        </w:rPr>
        <w:t>5.46</w:t>
      </w:r>
      <w:r>
        <w:rPr>
          <w:rFonts w:hint="eastAsia" w:ascii="Times New Roman" w:hAnsi="Times New Roman" w:eastAsia="仿宋_GB2312" w:cs="仿宋_GB2312"/>
          <w:color w:val="auto"/>
          <w:kern w:val="2"/>
          <w:sz w:val="32"/>
          <w:szCs w:val="32"/>
          <w:highlight w:val="none"/>
          <w:lang w:val="en-US" w:eastAsia="zh-CN" w:bidi="ar-SA"/>
        </w:rPr>
        <w:t>万元，完成预算</w:t>
      </w:r>
      <w:r>
        <w:rPr>
          <w:rFonts w:hint="eastAsia" w:eastAsia="仿宋_GB2312" w:cs="仿宋_GB2312"/>
          <w:color w:val="auto"/>
          <w:kern w:val="2"/>
          <w:sz w:val="32"/>
          <w:szCs w:val="32"/>
          <w:highlight w:val="none"/>
          <w:lang w:val="en-US" w:eastAsia="zh-CN" w:bidi="ar-SA"/>
        </w:rPr>
        <w:t>100</w:t>
      </w:r>
      <w:r>
        <w:rPr>
          <w:rFonts w:hint="eastAsia" w:ascii="Times New Roman" w:hAnsi="Times New Roman" w:eastAsia="仿宋_GB2312" w:cs="仿宋_GB2312"/>
          <w:color w:val="auto"/>
          <w:kern w:val="2"/>
          <w:sz w:val="32"/>
          <w:szCs w:val="32"/>
          <w:highlight w:val="none"/>
          <w:lang w:val="en-US" w:eastAsia="zh-CN" w:bidi="ar-SA"/>
        </w:rPr>
        <w:t>%，</w:t>
      </w:r>
      <w:r>
        <w:rPr>
          <w:rStyle w:val="18"/>
          <w:rFonts w:hint="eastAsia" w:ascii="仿宋" w:hAnsi="仿宋" w:eastAsia="仿宋"/>
          <w:b w:val="0"/>
          <w:bCs/>
          <w:sz w:val="30"/>
          <w:szCs w:val="30"/>
        </w:rPr>
        <w:t>决算数与预算数持平</w:t>
      </w:r>
      <w:r>
        <w:rPr>
          <w:rStyle w:val="18"/>
          <w:rFonts w:hint="eastAsia" w:ascii="仿宋" w:hAnsi="仿宋" w:eastAsia="仿宋"/>
          <w:b w:val="0"/>
          <w:bCs/>
          <w:sz w:val="32"/>
          <w:szCs w:val="32"/>
        </w:rPr>
        <w:t>。</w:t>
      </w:r>
    </w:p>
    <w:p w14:paraId="744D59CA">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jc w:val="both"/>
        <w:textAlignment w:val="auto"/>
        <w:rPr>
          <w:rFonts w:hint="eastAsia" w:eastAsia="仿宋_GB2312" w:cs="仿宋_GB2312"/>
          <w:color w:val="auto"/>
          <w:kern w:val="2"/>
          <w:sz w:val="32"/>
          <w:szCs w:val="32"/>
          <w:highlight w:val="none"/>
          <w:lang w:val="en-US" w:eastAsia="zh-CN" w:bidi="ar-SA"/>
        </w:rPr>
      </w:pPr>
      <w:r>
        <w:rPr>
          <w:rFonts w:hint="eastAsia" w:eastAsia="仿宋_GB2312" w:cs="仿宋_GB2312"/>
          <w:color w:val="auto"/>
          <w:kern w:val="2"/>
          <w:sz w:val="32"/>
          <w:szCs w:val="32"/>
          <w:highlight w:val="none"/>
          <w:lang w:val="en-US" w:eastAsia="zh-CN" w:bidi="ar-SA"/>
        </w:rPr>
        <w:t>15.卫生健康支出</w:t>
      </w:r>
      <w:r>
        <w:rPr>
          <w:rFonts w:hint="eastAsia" w:ascii="Times New Roman" w:hAnsi="Times New Roman" w:eastAsia="仿宋_GB2312" w:cs="仿宋_GB2312"/>
          <w:color w:val="auto"/>
          <w:kern w:val="2"/>
          <w:sz w:val="32"/>
          <w:szCs w:val="32"/>
          <w:highlight w:val="none"/>
          <w:lang w:val="en-US" w:eastAsia="zh-CN" w:bidi="ar-SA"/>
        </w:rPr>
        <w:t>（类）行政事业单位医疗（款）事业单位医疗（项）</w:t>
      </w:r>
      <w:r>
        <w:rPr>
          <w:rFonts w:hint="eastAsia" w:eastAsia="仿宋_GB2312" w:cs="仿宋_GB2312"/>
          <w:color w:val="auto"/>
          <w:kern w:val="2"/>
          <w:sz w:val="32"/>
          <w:szCs w:val="32"/>
          <w:highlight w:val="none"/>
          <w:lang w:val="en-US" w:eastAsia="zh-CN" w:bidi="ar-SA"/>
        </w:rPr>
        <w:t>：</w:t>
      </w:r>
      <w:r>
        <w:rPr>
          <w:rFonts w:hint="eastAsia" w:ascii="Times New Roman" w:hAnsi="Times New Roman" w:eastAsia="仿宋_GB2312" w:cs="仿宋_GB2312"/>
          <w:color w:val="auto"/>
          <w:kern w:val="2"/>
          <w:sz w:val="32"/>
          <w:szCs w:val="32"/>
          <w:highlight w:val="none"/>
          <w:lang w:val="en-US" w:eastAsia="zh-CN" w:bidi="ar-SA"/>
        </w:rPr>
        <w:t>支出决算为</w:t>
      </w:r>
      <w:r>
        <w:rPr>
          <w:rFonts w:hint="eastAsia" w:eastAsia="仿宋_GB2312" w:cs="仿宋_GB2312"/>
          <w:color w:val="auto"/>
          <w:kern w:val="2"/>
          <w:sz w:val="32"/>
          <w:szCs w:val="32"/>
          <w:highlight w:val="none"/>
          <w:lang w:val="en-US" w:eastAsia="zh-CN" w:bidi="ar-SA"/>
        </w:rPr>
        <w:t>7.01</w:t>
      </w:r>
      <w:r>
        <w:rPr>
          <w:rFonts w:hint="eastAsia" w:ascii="Times New Roman" w:hAnsi="Times New Roman" w:eastAsia="仿宋_GB2312" w:cs="仿宋_GB2312"/>
          <w:color w:val="auto"/>
          <w:kern w:val="2"/>
          <w:sz w:val="32"/>
          <w:szCs w:val="32"/>
          <w:highlight w:val="none"/>
          <w:lang w:val="en-US" w:eastAsia="zh-CN" w:bidi="ar-SA"/>
        </w:rPr>
        <w:t>万元，完成预算</w:t>
      </w:r>
      <w:r>
        <w:rPr>
          <w:rFonts w:hint="eastAsia" w:eastAsia="仿宋_GB2312" w:cs="仿宋_GB2312"/>
          <w:color w:val="auto"/>
          <w:kern w:val="2"/>
          <w:sz w:val="32"/>
          <w:szCs w:val="32"/>
          <w:highlight w:val="none"/>
          <w:lang w:val="en-US" w:eastAsia="zh-CN" w:bidi="ar-SA"/>
        </w:rPr>
        <w:t>100</w:t>
      </w:r>
      <w:r>
        <w:rPr>
          <w:rFonts w:hint="eastAsia" w:ascii="Times New Roman" w:hAnsi="Times New Roman" w:eastAsia="仿宋_GB2312" w:cs="仿宋_GB2312"/>
          <w:color w:val="auto"/>
          <w:kern w:val="2"/>
          <w:sz w:val="32"/>
          <w:szCs w:val="32"/>
          <w:highlight w:val="none"/>
          <w:lang w:val="en-US" w:eastAsia="zh-CN" w:bidi="ar-SA"/>
        </w:rPr>
        <w:t>%，</w:t>
      </w:r>
      <w:r>
        <w:rPr>
          <w:rStyle w:val="18"/>
          <w:rFonts w:hint="eastAsia" w:ascii="仿宋" w:hAnsi="仿宋" w:eastAsia="仿宋"/>
          <w:b w:val="0"/>
          <w:bCs/>
          <w:sz w:val="30"/>
          <w:szCs w:val="30"/>
        </w:rPr>
        <w:t>决算数与预算数持平</w:t>
      </w:r>
      <w:r>
        <w:rPr>
          <w:rStyle w:val="18"/>
          <w:rFonts w:hint="eastAsia" w:ascii="仿宋" w:hAnsi="仿宋" w:eastAsia="仿宋"/>
          <w:b w:val="0"/>
          <w:bCs/>
          <w:sz w:val="32"/>
          <w:szCs w:val="32"/>
        </w:rPr>
        <w:t>。</w:t>
      </w:r>
    </w:p>
    <w:p w14:paraId="7E1F838E">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jc w:val="both"/>
        <w:textAlignment w:val="auto"/>
        <w:rPr>
          <w:rFonts w:hint="eastAsia" w:eastAsia="仿宋_GB2312" w:cs="仿宋_GB2312"/>
          <w:color w:val="auto"/>
          <w:kern w:val="2"/>
          <w:sz w:val="32"/>
          <w:szCs w:val="32"/>
          <w:highlight w:val="none"/>
          <w:lang w:val="en-US" w:eastAsia="zh-CN" w:bidi="ar-SA"/>
        </w:rPr>
      </w:pPr>
      <w:r>
        <w:rPr>
          <w:rFonts w:hint="eastAsia" w:eastAsia="仿宋_GB2312" w:cs="仿宋_GB2312"/>
          <w:color w:val="auto"/>
          <w:kern w:val="2"/>
          <w:sz w:val="32"/>
          <w:szCs w:val="32"/>
          <w:highlight w:val="none"/>
          <w:lang w:val="en-US" w:eastAsia="zh-CN" w:bidi="ar-SA"/>
        </w:rPr>
        <w:t>16.卫生健康支出</w:t>
      </w:r>
      <w:r>
        <w:rPr>
          <w:rFonts w:hint="eastAsia" w:ascii="Times New Roman" w:hAnsi="Times New Roman" w:eastAsia="仿宋_GB2312" w:cs="仿宋_GB2312"/>
          <w:color w:val="auto"/>
          <w:kern w:val="2"/>
          <w:sz w:val="32"/>
          <w:szCs w:val="32"/>
          <w:highlight w:val="none"/>
          <w:lang w:val="en-US" w:eastAsia="zh-CN" w:bidi="ar-SA"/>
        </w:rPr>
        <w:t>（类）行政事业单位医疗（款）公务员医疗补助（项）</w:t>
      </w:r>
      <w:r>
        <w:rPr>
          <w:rFonts w:hint="eastAsia" w:eastAsia="仿宋_GB2312" w:cs="仿宋_GB2312"/>
          <w:color w:val="auto"/>
          <w:kern w:val="2"/>
          <w:sz w:val="32"/>
          <w:szCs w:val="32"/>
          <w:highlight w:val="none"/>
          <w:lang w:val="en-US" w:eastAsia="zh-CN" w:bidi="ar-SA"/>
        </w:rPr>
        <w:t>：</w:t>
      </w:r>
      <w:r>
        <w:rPr>
          <w:rFonts w:hint="eastAsia" w:ascii="Times New Roman" w:hAnsi="Times New Roman" w:eastAsia="仿宋_GB2312" w:cs="仿宋_GB2312"/>
          <w:color w:val="auto"/>
          <w:kern w:val="2"/>
          <w:sz w:val="32"/>
          <w:szCs w:val="32"/>
          <w:highlight w:val="none"/>
          <w:lang w:val="en-US" w:eastAsia="zh-CN" w:bidi="ar-SA"/>
        </w:rPr>
        <w:t>支出决算为</w:t>
      </w:r>
      <w:r>
        <w:rPr>
          <w:rFonts w:hint="eastAsia" w:eastAsia="仿宋_GB2312" w:cs="仿宋_GB2312"/>
          <w:color w:val="auto"/>
          <w:kern w:val="2"/>
          <w:sz w:val="32"/>
          <w:szCs w:val="32"/>
          <w:highlight w:val="none"/>
          <w:lang w:val="en-US" w:eastAsia="zh-CN" w:bidi="ar-SA"/>
        </w:rPr>
        <w:t>2.1</w:t>
      </w:r>
      <w:r>
        <w:rPr>
          <w:rFonts w:hint="eastAsia" w:ascii="Times New Roman" w:hAnsi="Times New Roman" w:eastAsia="仿宋_GB2312" w:cs="仿宋_GB2312"/>
          <w:color w:val="auto"/>
          <w:kern w:val="2"/>
          <w:sz w:val="32"/>
          <w:szCs w:val="32"/>
          <w:highlight w:val="none"/>
          <w:lang w:val="en-US" w:eastAsia="zh-CN" w:bidi="ar-SA"/>
        </w:rPr>
        <w:t>万元，完成预算</w:t>
      </w:r>
      <w:r>
        <w:rPr>
          <w:rFonts w:hint="eastAsia" w:eastAsia="仿宋_GB2312" w:cs="仿宋_GB2312"/>
          <w:color w:val="auto"/>
          <w:kern w:val="2"/>
          <w:sz w:val="32"/>
          <w:szCs w:val="32"/>
          <w:highlight w:val="none"/>
          <w:lang w:val="en-US" w:eastAsia="zh-CN" w:bidi="ar-SA"/>
        </w:rPr>
        <w:t>100</w:t>
      </w:r>
      <w:r>
        <w:rPr>
          <w:rFonts w:hint="eastAsia" w:ascii="Times New Roman" w:hAnsi="Times New Roman" w:eastAsia="仿宋_GB2312" w:cs="仿宋_GB2312"/>
          <w:color w:val="auto"/>
          <w:kern w:val="2"/>
          <w:sz w:val="32"/>
          <w:szCs w:val="32"/>
          <w:highlight w:val="none"/>
          <w:lang w:val="en-US" w:eastAsia="zh-CN" w:bidi="ar-SA"/>
        </w:rPr>
        <w:t>%，</w:t>
      </w:r>
      <w:r>
        <w:rPr>
          <w:rStyle w:val="18"/>
          <w:rFonts w:hint="eastAsia" w:ascii="仿宋" w:hAnsi="仿宋" w:eastAsia="仿宋"/>
          <w:b w:val="0"/>
          <w:bCs/>
          <w:sz w:val="30"/>
          <w:szCs w:val="30"/>
        </w:rPr>
        <w:t>决算数与预算数持平</w:t>
      </w:r>
      <w:r>
        <w:rPr>
          <w:rStyle w:val="18"/>
          <w:rFonts w:hint="eastAsia" w:ascii="仿宋" w:hAnsi="仿宋" w:eastAsia="仿宋"/>
          <w:b w:val="0"/>
          <w:bCs/>
          <w:sz w:val="32"/>
          <w:szCs w:val="32"/>
        </w:rPr>
        <w:t>。</w:t>
      </w:r>
    </w:p>
    <w:p w14:paraId="396CFE74">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jc w:val="both"/>
        <w:textAlignment w:val="auto"/>
        <w:rPr>
          <w:rFonts w:hint="eastAsia" w:eastAsia="仿宋_GB2312" w:cs="仿宋_GB2312"/>
          <w:color w:val="auto"/>
          <w:kern w:val="2"/>
          <w:sz w:val="32"/>
          <w:szCs w:val="32"/>
          <w:highlight w:val="none"/>
          <w:lang w:val="en-US" w:eastAsia="zh-CN" w:bidi="ar-SA"/>
        </w:rPr>
      </w:pPr>
      <w:r>
        <w:rPr>
          <w:rFonts w:hint="eastAsia" w:eastAsia="仿宋_GB2312" w:cs="仿宋_GB2312"/>
          <w:color w:val="auto"/>
          <w:kern w:val="2"/>
          <w:sz w:val="32"/>
          <w:szCs w:val="32"/>
          <w:highlight w:val="none"/>
          <w:lang w:val="en-US" w:eastAsia="zh-CN" w:bidi="ar-SA"/>
        </w:rPr>
        <w:t>17.农林水支出</w:t>
      </w:r>
      <w:r>
        <w:rPr>
          <w:rFonts w:hint="eastAsia" w:ascii="Times New Roman" w:hAnsi="Times New Roman" w:eastAsia="仿宋_GB2312" w:cs="仿宋_GB2312"/>
          <w:color w:val="auto"/>
          <w:kern w:val="2"/>
          <w:sz w:val="32"/>
          <w:szCs w:val="32"/>
          <w:highlight w:val="none"/>
          <w:lang w:val="en-US" w:eastAsia="zh-CN" w:bidi="ar-SA"/>
        </w:rPr>
        <w:t>（类）巩固脱贫攻坚成果衔接乡村振兴（款）其他巩固脱贫攻坚成果衔接乡村振兴支出（项）</w:t>
      </w:r>
      <w:r>
        <w:rPr>
          <w:rFonts w:hint="eastAsia" w:eastAsia="仿宋_GB2312" w:cs="仿宋_GB2312"/>
          <w:color w:val="auto"/>
          <w:kern w:val="2"/>
          <w:sz w:val="32"/>
          <w:szCs w:val="32"/>
          <w:highlight w:val="none"/>
          <w:lang w:val="en-US" w:eastAsia="zh-CN" w:bidi="ar-SA"/>
        </w:rPr>
        <w:t>：</w:t>
      </w:r>
      <w:r>
        <w:rPr>
          <w:rFonts w:hint="eastAsia" w:ascii="Times New Roman" w:hAnsi="Times New Roman" w:eastAsia="仿宋_GB2312" w:cs="仿宋_GB2312"/>
          <w:color w:val="auto"/>
          <w:kern w:val="2"/>
          <w:sz w:val="32"/>
          <w:szCs w:val="32"/>
          <w:highlight w:val="none"/>
          <w:lang w:val="en-US" w:eastAsia="zh-CN" w:bidi="ar-SA"/>
        </w:rPr>
        <w:t>支出决算为</w:t>
      </w:r>
      <w:r>
        <w:rPr>
          <w:rFonts w:hint="eastAsia" w:eastAsia="仿宋_GB2312" w:cs="仿宋_GB2312"/>
          <w:color w:val="auto"/>
          <w:kern w:val="2"/>
          <w:sz w:val="32"/>
          <w:szCs w:val="32"/>
          <w:highlight w:val="none"/>
          <w:lang w:val="en-US" w:eastAsia="zh-CN" w:bidi="ar-SA"/>
        </w:rPr>
        <w:t>1.49</w:t>
      </w:r>
      <w:r>
        <w:rPr>
          <w:rFonts w:hint="eastAsia" w:ascii="Times New Roman" w:hAnsi="Times New Roman" w:eastAsia="仿宋_GB2312" w:cs="仿宋_GB2312"/>
          <w:color w:val="auto"/>
          <w:kern w:val="2"/>
          <w:sz w:val="32"/>
          <w:szCs w:val="32"/>
          <w:highlight w:val="none"/>
          <w:lang w:val="en-US" w:eastAsia="zh-CN" w:bidi="ar-SA"/>
        </w:rPr>
        <w:t>万元，完成预算</w:t>
      </w:r>
      <w:r>
        <w:rPr>
          <w:rFonts w:hint="eastAsia" w:eastAsia="仿宋_GB2312" w:cs="仿宋_GB2312"/>
          <w:color w:val="auto"/>
          <w:kern w:val="2"/>
          <w:sz w:val="32"/>
          <w:szCs w:val="32"/>
          <w:highlight w:val="none"/>
          <w:lang w:val="en-US" w:eastAsia="zh-CN" w:bidi="ar-SA"/>
        </w:rPr>
        <w:t>100</w:t>
      </w:r>
      <w:r>
        <w:rPr>
          <w:rFonts w:hint="eastAsia" w:ascii="Times New Roman" w:hAnsi="Times New Roman" w:eastAsia="仿宋_GB2312" w:cs="仿宋_GB2312"/>
          <w:color w:val="auto"/>
          <w:kern w:val="2"/>
          <w:sz w:val="32"/>
          <w:szCs w:val="32"/>
          <w:highlight w:val="none"/>
          <w:lang w:val="en-US" w:eastAsia="zh-CN" w:bidi="ar-SA"/>
        </w:rPr>
        <w:t>%，</w:t>
      </w:r>
      <w:r>
        <w:rPr>
          <w:rStyle w:val="18"/>
          <w:rFonts w:hint="eastAsia" w:ascii="仿宋" w:hAnsi="仿宋" w:eastAsia="仿宋"/>
          <w:b w:val="0"/>
          <w:bCs/>
          <w:sz w:val="30"/>
          <w:szCs w:val="30"/>
        </w:rPr>
        <w:t>决算数与预算数持平</w:t>
      </w:r>
      <w:r>
        <w:rPr>
          <w:rStyle w:val="18"/>
          <w:rFonts w:hint="eastAsia" w:ascii="仿宋" w:hAnsi="仿宋" w:eastAsia="仿宋"/>
          <w:b w:val="0"/>
          <w:bCs/>
          <w:sz w:val="32"/>
          <w:szCs w:val="32"/>
        </w:rPr>
        <w:t>。</w:t>
      </w:r>
    </w:p>
    <w:p w14:paraId="42CCDEAD">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jc w:val="both"/>
        <w:textAlignment w:val="auto"/>
        <w:rPr>
          <w:rFonts w:hint="default" w:eastAsia="仿宋_GB2312" w:cs="仿宋_GB2312"/>
          <w:color w:val="auto"/>
          <w:kern w:val="2"/>
          <w:sz w:val="32"/>
          <w:szCs w:val="32"/>
          <w:highlight w:val="none"/>
          <w:lang w:val="en-US" w:eastAsia="zh-CN" w:bidi="ar-SA"/>
        </w:rPr>
      </w:pPr>
      <w:r>
        <w:rPr>
          <w:rFonts w:hint="eastAsia" w:eastAsia="仿宋_GB2312" w:cs="仿宋_GB2312"/>
          <w:color w:val="auto"/>
          <w:kern w:val="2"/>
          <w:sz w:val="32"/>
          <w:szCs w:val="32"/>
          <w:highlight w:val="none"/>
          <w:lang w:val="en-US" w:eastAsia="zh-CN" w:bidi="ar-SA"/>
        </w:rPr>
        <w:t>18.住房保障支出</w:t>
      </w:r>
      <w:r>
        <w:rPr>
          <w:rFonts w:hint="eastAsia" w:ascii="Times New Roman" w:hAnsi="Times New Roman" w:eastAsia="仿宋_GB2312" w:cs="仿宋_GB2312"/>
          <w:color w:val="auto"/>
          <w:kern w:val="2"/>
          <w:sz w:val="32"/>
          <w:szCs w:val="32"/>
          <w:highlight w:val="none"/>
          <w:lang w:val="en-US" w:eastAsia="zh-CN" w:bidi="ar-SA"/>
        </w:rPr>
        <w:t>（类）住房改革支出（款）住房公积金（项）</w:t>
      </w:r>
      <w:r>
        <w:rPr>
          <w:rFonts w:hint="eastAsia" w:eastAsia="仿宋_GB2312" w:cs="仿宋_GB2312"/>
          <w:color w:val="auto"/>
          <w:kern w:val="2"/>
          <w:sz w:val="32"/>
          <w:szCs w:val="32"/>
          <w:highlight w:val="none"/>
          <w:lang w:val="en-US" w:eastAsia="zh-CN" w:bidi="ar-SA"/>
        </w:rPr>
        <w:t>：</w:t>
      </w:r>
      <w:r>
        <w:rPr>
          <w:rFonts w:hint="eastAsia" w:ascii="Times New Roman" w:hAnsi="Times New Roman" w:eastAsia="仿宋_GB2312" w:cs="仿宋_GB2312"/>
          <w:color w:val="auto"/>
          <w:kern w:val="2"/>
          <w:sz w:val="32"/>
          <w:szCs w:val="32"/>
          <w:highlight w:val="none"/>
          <w:lang w:val="en-US" w:eastAsia="zh-CN" w:bidi="ar-SA"/>
        </w:rPr>
        <w:t>支出决算为</w:t>
      </w:r>
      <w:r>
        <w:rPr>
          <w:rFonts w:hint="eastAsia" w:eastAsia="仿宋_GB2312" w:cs="仿宋_GB2312"/>
          <w:color w:val="auto"/>
          <w:kern w:val="2"/>
          <w:sz w:val="32"/>
          <w:szCs w:val="32"/>
          <w:highlight w:val="none"/>
          <w:lang w:val="en-US" w:eastAsia="zh-CN" w:bidi="ar-SA"/>
        </w:rPr>
        <w:t>36.18</w:t>
      </w:r>
      <w:r>
        <w:rPr>
          <w:rFonts w:hint="eastAsia" w:ascii="Times New Roman" w:hAnsi="Times New Roman" w:eastAsia="仿宋_GB2312" w:cs="仿宋_GB2312"/>
          <w:color w:val="auto"/>
          <w:kern w:val="2"/>
          <w:sz w:val="32"/>
          <w:szCs w:val="32"/>
          <w:highlight w:val="none"/>
          <w:lang w:val="en-US" w:eastAsia="zh-CN" w:bidi="ar-SA"/>
        </w:rPr>
        <w:t>万元，完成预算</w:t>
      </w:r>
      <w:r>
        <w:rPr>
          <w:rFonts w:hint="eastAsia" w:eastAsia="仿宋_GB2312" w:cs="仿宋_GB2312"/>
          <w:color w:val="auto"/>
          <w:kern w:val="2"/>
          <w:sz w:val="32"/>
          <w:szCs w:val="32"/>
          <w:highlight w:val="none"/>
          <w:lang w:val="en-US" w:eastAsia="zh-CN" w:bidi="ar-SA"/>
        </w:rPr>
        <w:t>100</w:t>
      </w:r>
      <w:r>
        <w:rPr>
          <w:rFonts w:hint="eastAsia" w:ascii="Times New Roman" w:hAnsi="Times New Roman" w:eastAsia="仿宋_GB2312" w:cs="仿宋_GB2312"/>
          <w:color w:val="auto"/>
          <w:kern w:val="2"/>
          <w:sz w:val="32"/>
          <w:szCs w:val="32"/>
          <w:highlight w:val="none"/>
          <w:lang w:val="en-US" w:eastAsia="zh-CN" w:bidi="ar-SA"/>
        </w:rPr>
        <w:t>%，</w:t>
      </w:r>
      <w:r>
        <w:rPr>
          <w:rStyle w:val="18"/>
          <w:rFonts w:hint="eastAsia" w:ascii="仿宋" w:hAnsi="仿宋" w:eastAsia="仿宋"/>
          <w:b w:val="0"/>
          <w:bCs/>
          <w:sz w:val="30"/>
          <w:szCs w:val="30"/>
        </w:rPr>
        <w:t>决算数与预算数持平</w:t>
      </w:r>
      <w:r>
        <w:rPr>
          <w:rStyle w:val="18"/>
          <w:rFonts w:hint="eastAsia" w:ascii="仿宋" w:hAnsi="仿宋" w:eastAsia="仿宋"/>
          <w:b w:val="0"/>
          <w:bCs/>
          <w:sz w:val="32"/>
          <w:szCs w:val="32"/>
        </w:rPr>
        <w:t>。</w:t>
      </w:r>
    </w:p>
    <w:p w14:paraId="6F1E5A66">
      <w:pPr>
        <w:keepNext w:val="0"/>
        <w:keepLines w:val="0"/>
        <w:pageBreakBefore w:val="0"/>
        <w:widowControl w:val="0"/>
        <w:kinsoku/>
        <w:wordWrap/>
        <w:overflowPunct/>
        <w:topLinePunct w:val="0"/>
        <w:autoSpaceDE/>
        <w:autoSpaceDN/>
        <w:bidi w:val="0"/>
        <w:adjustRightInd/>
        <w:snapToGrid/>
        <w:spacing w:line="560" w:lineRule="exact"/>
        <w:ind w:left="0" w:firstLine="643" w:firstLineChars="200"/>
        <w:jc w:val="both"/>
        <w:textAlignment w:val="auto"/>
        <w:rPr>
          <w:rFonts w:hint="eastAsia" w:ascii="Times New Roman" w:hAnsi="Times New Roman" w:eastAsia="仿宋_GB2312" w:cs="仿宋_GB2312"/>
          <w:color w:val="auto"/>
          <w:kern w:val="2"/>
          <w:sz w:val="32"/>
          <w:szCs w:val="32"/>
          <w:highlight w:val="none"/>
          <w:lang w:val="en-US" w:eastAsia="zh-CN" w:bidi="ar-SA"/>
        </w:rPr>
      </w:pPr>
      <w:r>
        <w:rPr>
          <w:rFonts w:hint="eastAsia" w:ascii="Times New Roman" w:hAnsi="Times New Roman" w:eastAsia="仿宋_GB2312" w:cs="仿宋_GB2312"/>
          <w:b/>
          <w:bCs/>
          <w:color w:val="auto"/>
          <w:kern w:val="2"/>
          <w:sz w:val="32"/>
          <w:szCs w:val="32"/>
          <w:highlight w:val="none"/>
          <w:lang w:val="en-US" w:eastAsia="zh-CN" w:bidi="ar-SA"/>
        </w:rPr>
        <w:t>（注：仅罗列本部门涉及的全部功能分类科目，至项级。上述“预算”口径为全年预算数。增减变动原因为决算数&lt;项级&gt;和全年预算数&lt;项级&gt;比较，与预算数持平可以不写原因）</w:t>
      </w:r>
    </w:p>
    <w:p w14:paraId="3692900C">
      <w:pPr>
        <w:keepNext w:val="0"/>
        <w:keepLines w:val="0"/>
        <w:pageBreakBefore w:val="0"/>
        <w:widowControl w:val="0"/>
        <w:tabs>
          <w:tab w:val="right" w:pos="8306"/>
        </w:tabs>
        <w:kinsoku/>
        <w:wordWrap/>
        <w:overflowPunct/>
        <w:topLinePunct w:val="0"/>
        <w:autoSpaceDE/>
        <w:autoSpaceDN/>
        <w:bidi w:val="0"/>
        <w:adjustRightInd/>
        <w:snapToGrid/>
        <w:spacing w:line="560" w:lineRule="exact"/>
        <w:ind w:left="0" w:firstLine="640" w:firstLineChars="200"/>
        <w:jc w:val="both"/>
        <w:textAlignment w:val="auto"/>
        <w:outlineLvl w:val="1"/>
        <w:rPr>
          <w:rStyle w:val="30"/>
          <w:rFonts w:ascii="Times New Roman" w:hAnsi="Times New Roman"/>
          <w:color w:val="auto"/>
          <w:highlight w:val="none"/>
        </w:rPr>
      </w:pPr>
      <w:bookmarkStart w:id="40" w:name="_Toc15377214"/>
      <w:bookmarkStart w:id="41" w:name="_Toc15396608"/>
      <w:bookmarkStart w:id="42" w:name="_Toc11069"/>
      <w:r>
        <w:rPr>
          <w:rFonts w:hint="eastAsia" w:ascii="Times New Roman" w:hAnsi="Times New Roman" w:eastAsia="黑体"/>
          <w:color w:val="auto"/>
          <w:sz w:val="32"/>
          <w:szCs w:val="32"/>
          <w:highlight w:val="none"/>
        </w:rPr>
        <w:t>六</w:t>
      </w:r>
      <w:r>
        <w:rPr>
          <w:rFonts w:hint="eastAsia" w:ascii="Times New Roman" w:hAnsi="Times New Roman" w:eastAsia="黑体"/>
          <w:b/>
          <w:color w:val="auto"/>
          <w:sz w:val="32"/>
          <w:szCs w:val="32"/>
          <w:highlight w:val="none"/>
        </w:rPr>
        <w:t>、一</w:t>
      </w:r>
      <w:r>
        <w:rPr>
          <w:rStyle w:val="30"/>
          <w:rFonts w:hint="eastAsia" w:ascii="Times New Roman" w:hAnsi="Times New Roman" w:eastAsia="黑体"/>
          <w:b w:val="0"/>
          <w:color w:val="auto"/>
          <w:highlight w:val="none"/>
        </w:rPr>
        <w:t>般公共预算财政拨款基本支出决算情况说明</w:t>
      </w:r>
      <w:bookmarkEnd w:id="40"/>
      <w:bookmarkEnd w:id="41"/>
      <w:bookmarkEnd w:id="42"/>
      <w:r>
        <w:rPr>
          <w:rStyle w:val="30"/>
          <w:rFonts w:ascii="Times New Roman" w:hAnsi="Times New Roman" w:eastAsia="黑体"/>
          <w:b w:val="0"/>
          <w:color w:val="auto"/>
          <w:highlight w:val="none"/>
        </w:rPr>
        <w:tab/>
      </w:r>
    </w:p>
    <w:p w14:paraId="2F141E10">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jc w:val="both"/>
        <w:textAlignment w:val="auto"/>
        <w:rPr>
          <w:rFonts w:hint="eastAsia" w:ascii="Times New Roman" w:hAnsi="Times New Roman" w:eastAsia="仿宋_GB2312" w:cs="仿宋_GB2312"/>
          <w:color w:val="auto"/>
          <w:kern w:val="2"/>
          <w:sz w:val="32"/>
          <w:szCs w:val="32"/>
          <w:highlight w:val="none"/>
          <w:lang w:val="en-US" w:eastAsia="zh-CN" w:bidi="ar-SA"/>
        </w:rPr>
      </w:pPr>
      <w:r>
        <w:rPr>
          <w:rFonts w:hint="eastAsia" w:ascii="Times New Roman" w:hAnsi="Times New Roman" w:eastAsia="仿宋_GB2312" w:cs="仿宋_GB2312"/>
          <w:color w:val="auto"/>
          <w:kern w:val="2"/>
          <w:sz w:val="32"/>
          <w:szCs w:val="32"/>
          <w:highlight w:val="none"/>
          <w:lang w:val="en-US" w:eastAsia="zh-CN" w:bidi="ar-SA"/>
        </w:rPr>
        <w:t>2024年度一般公共预算财政拨款基本支出</w:t>
      </w:r>
      <w:r>
        <w:rPr>
          <w:rFonts w:hint="eastAsia" w:ascii="仿宋_GB2312" w:hAnsi="仿宋_GB2312" w:eastAsia="仿宋_GB2312" w:cs="仿宋_GB2312"/>
          <w:sz w:val="32"/>
          <w:szCs w:val="32"/>
        </w:rPr>
        <w:t>509.34</w:t>
      </w:r>
      <w:r>
        <w:rPr>
          <w:rFonts w:hint="eastAsia" w:ascii="仿宋_GB2312" w:hAnsi="仿宋_GB2312" w:eastAsia="仿宋_GB2312" w:cs="仿宋_GB2312"/>
          <w:color w:val="auto"/>
          <w:kern w:val="2"/>
          <w:sz w:val="32"/>
          <w:szCs w:val="32"/>
          <w:highlight w:val="none"/>
          <w:lang w:val="en-US" w:eastAsia="zh-CN" w:bidi="ar-SA"/>
        </w:rPr>
        <w:t>万</w:t>
      </w:r>
      <w:r>
        <w:rPr>
          <w:rFonts w:hint="eastAsia" w:ascii="Times New Roman" w:hAnsi="Times New Roman" w:eastAsia="仿宋_GB2312" w:cs="仿宋_GB2312"/>
          <w:color w:val="auto"/>
          <w:kern w:val="2"/>
          <w:sz w:val="32"/>
          <w:szCs w:val="32"/>
          <w:highlight w:val="none"/>
          <w:lang w:val="en-US" w:eastAsia="zh-CN" w:bidi="ar-SA"/>
        </w:rPr>
        <w:t>元，其中：</w:t>
      </w:r>
    </w:p>
    <w:p w14:paraId="2613AFA2">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jc w:val="both"/>
        <w:textAlignment w:val="auto"/>
        <w:rPr>
          <w:rFonts w:hint="eastAsia" w:ascii="Times New Roman" w:hAnsi="Times New Roman" w:eastAsia="仿宋_GB2312" w:cs="仿宋_GB2312"/>
          <w:color w:val="auto"/>
          <w:kern w:val="2"/>
          <w:sz w:val="32"/>
          <w:szCs w:val="32"/>
          <w:highlight w:val="none"/>
          <w:lang w:val="en-US" w:eastAsia="zh-CN" w:bidi="ar-SA"/>
        </w:rPr>
      </w:pPr>
      <w:r>
        <w:rPr>
          <w:rFonts w:hint="eastAsia" w:ascii="Times New Roman" w:hAnsi="Times New Roman" w:eastAsia="仿宋_GB2312" w:cs="仿宋_GB2312"/>
          <w:color w:val="auto"/>
          <w:kern w:val="2"/>
          <w:sz w:val="32"/>
          <w:szCs w:val="32"/>
          <w:highlight w:val="none"/>
          <w:lang w:val="en-US" w:eastAsia="zh-CN" w:bidi="ar-SA"/>
        </w:rPr>
        <w:t>人员经费</w:t>
      </w:r>
      <w:r>
        <w:rPr>
          <w:rFonts w:hint="eastAsia" w:ascii="仿宋_GB2312" w:hAnsi="仿宋_GB2312" w:eastAsia="仿宋_GB2312" w:cs="仿宋_GB2312"/>
          <w:sz w:val="32"/>
          <w:szCs w:val="32"/>
        </w:rPr>
        <w:t>446.32</w:t>
      </w:r>
      <w:r>
        <w:rPr>
          <w:rFonts w:hint="eastAsia" w:ascii="仿宋_GB2312" w:hAnsi="仿宋_GB2312" w:eastAsia="仿宋_GB2312" w:cs="仿宋_GB2312"/>
          <w:color w:val="auto"/>
          <w:kern w:val="2"/>
          <w:sz w:val="32"/>
          <w:szCs w:val="32"/>
          <w:highlight w:val="none"/>
          <w:lang w:val="en-US" w:eastAsia="zh-CN" w:bidi="ar-SA"/>
        </w:rPr>
        <w:t>万</w:t>
      </w:r>
      <w:r>
        <w:rPr>
          <w:rFonts w:hint="eastAsia" w:ascii="Times New Roman" w:hAnsi="Times New Roman" w:eastAsia="仿宋_GB2312" w:cs="仿宋_GB2312"/>
          <w:color w:val="auto"/>
          <w:kern w:val="2"/>
          <w:sz w:val="32"/>
          <w:szCs w:val="32"/>
          <w:highlight w:val="none"/>
          <w:lang w:val="en-US" w:eastAsia="zh-CN" w:bidi="ar-SA"/>
        </w:rPr>
        <w:t>元，主要包括：基本工资、津贴补贴、奖金、伙食补助费、绩效工资、机关事业单位基本养老保险缴费、职业年金缴费、其他社会保障缴费、其他工资福利支出、离休费、退休费、抚恤金、生活补助、医疗费补助、奖励金、住房公积金、其他对个人和家庭的补助支出等。</w:t>
      </w:r>
      <w:r>
        <w:rPr>
          <w:rFonts w:hint="eastAsia" w:ascii="Times New Roman" w:hAnsi="Times New Roman" w:eastAsia="仿宋_GB2312" w:cs="仿宋_GB2312"/>
          <w:color w:val="auto"/>
          <w:kern w:val="2"/>
          <w:sz w:val="32"/>
          <w:szCs w:val="32"/>
          <w:highlight w:val="none"/>
          <w:lang w:val="en-US" w:eastAsia="zh-CN" w:bidi="ar-SA"/>
        </w:rPr>
        <w:br w:type="textWrapping"/>
      </w:r>
      <w:r>
        <w:rPr>
          <w:rFonts w:hint="eastAsia" w:ascii="Times New Roman" w:hAnsi="Times New Roman" w:eastAsia="仿宋_GB2312" w:cs="仿宋_GB2312"/>
          <w:color w:val="auto"/>
          <w:kern w:val="2"/>
          <w:sz w:val="32"/>
          <w:szCs w:val="32"/>
          <w:highlight w:val="none"/>
          <w:lang w:val="en-US" w:eastAsia="zh-CN" w:bidi="ar-SA"/>
        </w:rPr>
        <w:t>　　公用经费</w:t>
      </w:r>
      <w:r>
        <w:rPr>
          <w:rFonts w:hint="eastAsia" w:ascii="仿宋_GB2312" w:hAnsi="仿宋_GB2312" w:eastAsia="仿宋_GB2312" w:cs="仿宋_GB2312"/>
          <w:sz w:val="32"/>
          <w:szCs w:val="32"/>
        </w:rPr>
        <w:t>63.01</w:t>
      </w:r>
      <w:r>
        <w:rPr>
          <w:rFonts w:hint="eastAsia" w:ascii="仿宋_GB2312" w:hAnsi="仿宋_GB2312" w:eastAsia="仿宋_GB2312" w:cs="仿宋_GB2312"/>
          <w:color w:val="auto"/>
          <w:kern w:val="2"/>
          <w:sz w:val="32"/>
          <w:szCs w:val="32"/>
          <w:highlight w:val="none"/>
          <w:lang w:val="en-US" w:eastAsia="zh-CN" w:bidi="ar-SA"/>
        </w:rPr>
        <w:t>万</w:t>
      </w:r>
      <w:r>
        <w:rPr>
          <w:rFonts w:hint="eastAsia" w:ascii="Times New Roman" w:hAnsi="Times New Roman" w:eastAsia="仿宋_GB2312" w:cs="仿宋_GB2312"/>
          <w:color w:val="auto"/>
          <w:kern w:val="2"/>
          <w:sz w:val="32"/>
          <w:szCs w:val="32"/>
          <w:highlight w:val="none"/>
          <w:lang w:val="en-US" w:eastAsia="zh-CN" w:bidi="ar-SA"/>
        </w:rPr>
        <w:t>元，主要包括：办公费、印刷费、咨询费、手续费、水费、电费、邮电费、取暖费、物业管理费、差旅费、因公出国（境）费用、维修（护）费、租赁费、会议费、培训费、公务接待费、劳务费、委托业务费、工会经费、福利费、公务用车运行维护费、其他交通费、税金及附加费用、其他商品和服务支出、办公设备购置、专用设备购置、信息网络及软件购置更新、其他资本性支出等。</w:t>
      </w:r>
    </w:p>
    <w:p w14:paraId="41729B8F">
      <w:pPr>
        <w:keepNext w:val="0"/>
        <w:keepLines w:val="0"/>
        <w:pageBreakBefore w:val="0"/>
        <w:widowControl w:val="0"/>
        <w:kinsoku/>
        <w:wordWrap/>
        <w:overflowPunct/>
        <w:topLinePunct w:val="0"/>
        <w:autoSpaceDE/>
        <w:autoSpaceDN/>
        <w:bidi w:val="0"/>
        <w:adjustRightInd/>
        <w:snapToGrid/>
        <w:spacing w:line="560" w:lineRule="exact"/>
        <w:ind w:left="0" w:firstLine="643" w:firstLineChars="200"/>
        <w:jc w:val="both"/>
        <w:textAlignment w:val="auto"/>
        <w:rPr>
          <w:rFonts w:hint="eastAsia" w:ascii="Times New Roman" w:hAnsi="Times New Roman" w:eastAsia="仿宋_GB2312" w:cs="仿宋_GB2312"/>
          <w:color w:val="auto"/>
          <w:kern w:val="2"/>
          <w:sz w:val="32"/>
          <w:szCs w:val="32"/>
          <w:highlight w:val="none"/>
          <w:lang w:val="en-US" w:eastAsia="zh-CN" w:bidi="ar-SA"/>
        </w:rPr>
      </w:pPr>
      <w:r>
        <w:rPr>
          <w:rFonts w:hint="eastAsia" w:ascii="Times New Roman" w:hAnsi="Times New Roman" w:eastAsia="仿宋_GB2312" w:cs="仿宋_GB2312"/>
          <w:b/>
          <w:bCs/>
          <w:color w:val="auto"/>
          <w:kern w:val="2"/>
          <w:sz w:val="32"/>
          <w:szCs w:val="32"/>
          <w:highlight w:val="none"/>
          <w:lang w:val="en-US" w:eastAsia="zh-CN" w:bidi="ar-SA"/>
        </w:rPr>
        <w:t>（注：仅罗列本部门实际支出涉及的经济分类科目）</w:t>
      </w:r>
    </w:p>
    <w:p w14:paraId="0E999F57">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jc w:val="both"/>
        <w:textAlignment w:val="auto"/>
        <w:outlineLvl w:val="1"/>
        <w:rPr>
          <w:rStyle w:val="30"/>
          <w:rFonts w:ascii="Times New Roman" w:hAnsi="Times New Roman" w:eastAsia="黑体"/>
          <w:b w:val="0"/>
          <w:color w:val="auto"/>
          <w:highlight w:val="none"/>
        </w:rPr>
      </w:pPr>
      <w:bookmarkStart w:id="43" w:name="_Toc15396609"/>
      <w:bookmarkStart w:id="44" w:name="_Toc15377215"/>
      <w:bookmarkStart w:id="45" w:name="_Toc16857"/>
      <w:r>
        <w:rPr>
          <w:rFonts w:hint="eastAsia" w:ascii="Times New Roman" w:hAnsi="Times New Roman" w:eastAsia="黑体"/>
          <w:color w:val="auto"/>
          <w:sz w:val="32"/>
          <w:szCs w:val="32"/>
          <w:highlight w:val="none"/>
        </w:rPr>
        <w:t>七、</w:t>
      </w:r>
      <w:r>
        <w:rPr>
          <w:rStyle w:val="30"/>
          <w:rFonts w:hint="eastAsia" w:ascii="Times New Roman" w:hAnsi="Times New Roman" w:eastAsia="黑体"/>
          <w:b w:val="0"/>
          <w:color w:val="auto"/>
          <w:highlight w:val="none"/>
        </w:rPr>
        <w:t>财政拨款</w:t>
      </w:r>
      <w:r>
        <w:rPr>
          <w:rStyle w:val="30"/>
          <w:rFonts w:hint="eastAsia" w:ascii="Times New Roman" w:hAnsi="Times New Roman" w:eastAsia="黑体"/>
          <w:color w:val="auto"/>
          <w:highlight w:val="none"/>
        </w:rPr>
        <w:t>“</w:t>
      </w:r>
      <w:r>
        <w:rPr>
          <w:rStyle w:val="30"/>
          <w:rFonts w:hint="eastAsia" w:ascii="Times New Roman" w:hAnsi="Times New Roman" w:eastAsia="黑体"/>
          <w:b w:val="0"/>
          <w:color w:val="auto"/>
          <w:highlight w:val="none"/>
        </w:rPr>
        <w:t>三公”经费支出决算情况说明</w:t>
      </w:r>
      <w:bookmarkEnd w:id="43"/>
      <w:bookmarkEnd w:id="44"/>
      <w:bookmarkEnd w:id="45"/>
    </w:p>
    <w:p w14:paraId="53BF9BE0">
      <w:pPr>
        <w:keepNext w:val="0"/>
        <w:keepLines w:val="0"/>
        <w:pageBreakBefore w:val="0"/>
        <w:widowControl w:val="0"/>
        <w:kinsoku/>
        <w:wordWrap/>
        <w:overflowPunct/>
        <w:topLinePunct w:val="0"/>
        <w:autoSpaceDE/>
        <w:autoSpaceDN/>
        <w:bidi w:val="0"/>
        <w:adjustRightInd/>
        <w:snapToGrid/>
        <w:spacing w:line="560" w:lineRule="exact"/>
        <w:ind w:left="0" w:firstLine="643" w:firstLineChars="200"/>
        <w:jc w:val="both"/>
        <w:textAlignment w:val="auto"/>
        <w:outlineLvl w:val="2"/>
        <w:rPr>
          <w:rFonts w:hint="eastAsia" w:ascii="Times New Roman" w:hAnsi="Times New Roman" w:eastAsia="楷体_GB2312" w:cs="楷体_GB2312"/>
          <w:b/>
          <w:color w:val="auto"/>
          <w:sz w:val="32"/>
          <w:szCs w:val="32"/>
          <w:highlight w:val="none"/>
        </w:rPr>
      </w:pPr>
      <w:bookmarkStart w:id="46" w:name="_Toc15377216"/>
      <w:r>
        <w:rPr>
          <w:rFonts w:hint="eastAsia" w:ascii="Times New Roman" w:hAnsi="Times New Roman" w:eastAsia="楷体_GB2312" w:cs="楷体_GB2312"/>
          <w:b/>
          <w:color w:val="auto"/>
          <w:sz w:val="32"/>
          <w:szCs w:val="32"/>
          <w:highlight w:val="none"/>
        </w:rPr>
        <w:t>（一）“三公”经费财政拨款支出决算总体情况说明</w:t>
      </w:r>
      <w:bookmarkEnd w:id="46"/>
    </w:p>
    <w:p w14:paraId="68A7E238">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jc w:val="both"/>
        <w:textAlignment w:val="auto"/>
        <w:rPr>
          <w:rFonts w:hint="eastAsia" w:ascii="仿宋_GB2312" w:hAnsi="仿宋_GB2312" w:eastAsia="仿宋_GB2312" w:cs="仿宋_GB2312"/>
          <w:color w:val="auto"/>
          <w:kern w:val="2"/>
          <w:sz w:val="32"/>
          <w:szCs w:val="32"/>
          <w:highlight w:val="none"/>
          <w:lang w:val="en-US" w:eastAsia="zh-CN" w:bidi="ar-SA"/>
        </w:rPr>
      </w:pPr>
      <w:r>
        <w:rPr>
          <w:rFonts w:hint="eastAsia" w:ascii="仿宋_GB2312" w:hAnsi="仿宋_GB2312" w:eastAsia="仿宋_GB2312" w:cs="仿宋_GB2312"/>
          <w:color w:val="auto"/>
          <w:kern w:val="2"/>
          <w:sz w:val="32"/>
          <w:szCs w:val="32"/>
          <w:highlight w:val="none"/>
          <w:lang w:val="en-US" w:eastAsia="zh-CN" w:bidi="ar-SA"/>
        </w:rPr>
        <w:t>2024年度“三公”经费财政拨款支出决算为</w:t>
      </w:r>
      <w:r>
        <w:rPr>
          <w:rFonts w:hint="eastAsia" w:ascii="仿宋_GB2312" w:hAnsi="仿宋_GB2312" w:eastAsia="仿宋_GB2312" w:cs="仿宋_GB2312"/>
          <w:sz w:val="32"/>
          <w:szCs w:val="32"/>
        </w:rPr>
        <w:t>2.57</w:t>
      </w:r>
      <w:r>
        <w:rPr>
          <w:rFonts w:hint="eastAsia" w:ascii="仿宋_GB2312" w:hAnsi="仿宋_GB2312" w:eastAsia="仿宋_GB2312" w:cs="仿宋_GB2312"/>
          <w:color w:val="auto"/>
          <w:kern w:val="2"/>
          <w:sz w:val="32"/>
          <w:szCs w:val="32"/>
          <w:highlight w:val="none"/>
          <w:lang w:val="en-US" w:eastAsia="zh-CN" w:bidi="ar-SA"/>
        </w:rPr>
        <w:t>万元，完成预算</w:t>
      </w:r>
      <w:r>
        <w:rPr>
          <w:rFonts w:hint="eastAsia" w:ascii="仿宋_GB2312" w:hAnsi="仿宋_GB2312" w:eastAsia="仿宋_GB2312" w:cs="仿宋_GB2312"/>
          <w:sz w:val="32"/>
          <w:szCs w:val="32"/>
        </w:rPr>
        <w:t>100</w:t>
      </w:r>
      <w:r>
        <w:rPr>
          <w:rFonts w:hint="eastAsia" w:ascii="仿宋_GB2312" w:hAnsi="仿宋_GB2312" w:eastAsia="仿宋_GB2312" w:cs="仿宋_GB2312"/>
          <w:color w:val="auto"/>
          <w:kern w:val="2"/>
          <w:sz w:val="32"/>
          <w:szCs w:val="32"/>
          <w:highlight w:val="none"/>
          <w:lang w:val="en-US" w:eastAsia="zh-CN" w:bidi="ar-SA"/>
        </w:rPr>
        <w:t>%，较上年度减少2.55万元，下降49.80%。决算数小于预算数的主要原因是厉行节约，控制开支。</w:t>
      </w:r>
    </w:p>
    <w:p w14:paraId="33FC793B">
      <w:pPr>
        <w:keepNext w:val="0"/>
        <w:keepLines w:val="0"/>
        <w:pageBreakBefore w:val="0"/>
        <w:widowControl w:val="0"/>
        <w:kinsoku/>
        <w:wordWrap/>
        <w:overflowPunct/>
        <w:topLinePunct w:val="0"/>
        <w:autoSpaceDE/>
        <w:autoSpaceDN/>
        <w:bidi w:val="0"/>
        <w:adjustRightInd/>
        <w:snapToGrid/>
        <w:spacing w:line="560" w:lineRule="exact"/>
        <w:ind w:left="0" w:firstLine="643" w:firstLineChars="200"/>
        <w:jc w:val="both"/>
        <w:textAlignment w:val="auto"/>
        <w:rPr>
          <w:rFonts w:hint="eastAsia" w:ascii="Times New Roman" w:hAnsi="Times New Roman" w:eastAsia="仿宋_GB2312" w:cs="仿宋_GB2312"/>
          <w:b/>
          <w:bCs/>
          <w:color w:val="auto"/>
          <w:kern w:val="2"/>
          <w:sz w:val="32"/>
          <w:szCs w:val="32"/>
          <w:highlight w:val="none"/>
          <w:lang w:val="en-US" w:eastAsia="zh-CN" w:bidi="ar-SA"/>
        </w:rPr>
      </w:pPr>
      <w:r>
        <w:rPr>
          <w:rFonts w:hint="eastAsia" w:ascii="Times New Roman" w:hAnsi="Times New Roman" w:eastAsia="仿宋_GB2312" w:cs="仿宋_GB2312"/>
          <w:b/>
          <w:bCs/>
          <w:color w:val="auto"/>
          <w:kern w:val="2"/>
          <w:sz w:val="32"/>
          <w:szCs w:val="32"/>
          <w:highlight w:val="none"/>
          <w:lang w:val="en-US" w:eastAsia="zh-CN" w:bidi="ar-SA"/>
        </w:rPr>
        <w:t>（注：上述“预算”口径为全年预算数，包括一般公共预算和政府性基金预算财政拨款支出决算情况）</w:t>
      </w:r>
    </w:p>
    <w:p w14:paraId="06C00A23">
      <w:pPr>
        <w:keepNext w:val="0"/>
        <w:keepLines w:val="0"/>
        <w:pageBreakBefore w:val="0"/>
        <w:widowControl w:val="0"/>
        <w:kinsoku/>
        <w:wordWrap/>
        <w:overflowPunct/>
        <w:topLinePunct w:val="0"/>
        <w:autoSpaceDE/>
        <w:autoSpaceDN/>
        <w:bidi w:val="0"/>
        <w:adjustRightInd/>
        <w:snapToGrid/>
        <w:spacing w:line="560" w:lineRule="exact"/>
        <w:ind w:left="0" w:firstLine="643" w:firstLineChars="200"/>
        <w:jc w:val="both"/>
        <w:textAlignment w:val="auto"/>
        <w:outlineLvl w:val="2"/>
        <w:rPr>
          <w:rFonts w:hint="eastAsia" w:ascii="Times New Roman" w:hAnsi="Times New Roman" w:eastAsia="楷体_GB2312" w:cs="楷体_GB2312"/>
          <w:b/>
          <w:color w:val="auto"/>
          <w:sz w:val="32"/>
          <w:szCs w:val="32"/>
          <w:highlight w:val="none"/>
        </w:rPr>
      </w:pPr>
      <w:bookmarkStart w:id="47" w:name="_Toc15377217"/>
      <w:r>
        <w:rPr>
          <w:rFonts w:hint="eastAsia" w:ascii="Times New Roman" w:hAnsi="Times New Roman" w:eastAsia="楷体_GB2312" w:cs="楷体_GB2312"/>
          <w:b/>
          <w:color w:val="auto"/>
          <w:sz w:val="32"/>
          <w:szCs w:val="32"/>
          <w:highlight w:val="none"/>
        </w:rPr>
        <w:t>（二）“三公”经费财政拨款支出决算具体情况说明</w:t>
      </w:r>
      <w:bookmarkEnd w:id="47"/>
    </w:p>
    <w:p w14:paraId="0A2544DB">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jc w:val="both"/>
        <w:textAlignment w:val="auto"/>
        <w:rPr>
          <w:rFonts w:hint="eastAsia" w:ascii="仿宋_GB2312" w:hAnsi="仿宋_GB2312" w:eastAsia="仿宋_GB2312" w:cs="仿宋_GB2312"/>
          <w:color w:val="auto"/>
          <w:kern w:val="2"/>
          <w:sz w:val="32"/>
          <w:szCs w:val="32"/>
          <w:highlight w:val="none"/>
          <w:lang w:val="en-US" w:eastAsia="zh-CN" w:bidi="ar-SA"/>
        </w:rPr>
      </w:pPr>
      <w:r>
        <w:rPr>
          <w:rFonts w:hint="eastAsia" w:ascii="仿宋_GB2312" w:hAnsi="仿宋_GB2312" w:eastAsia="仿宋_GB2312" w:cs="仿宋_GB2312"/>
          <w:color w:val="auto"/>
          <w:kern w:val="2"/>
          <w:sz w:val="32"/>
          <w:szCs w:val="32"/>
          <w:highlight w:val="none"/>
          <w:lang w:val="en-US" w:eastAsia="zh-CN" w:bidi="ar-SA"/>
        </w:rPr>
        <w:t>2024年度“三公”经费财政拨款支出决算中，因公出国（境）费支出决算</w:t>
      </w:r>
      <w:r>
        <w:rPr>
          <w:rFonts w:hint="eastAsia" w:ascii="仿宋_GB2312" w:hAnsi="仿宋_GB2312" w:eastAsia="仿宋_GB2312" w:cs="仿宋_GB2312"/>
          <w:sz w:val="32"/>
          <w:szCs w:val="32"/>
        </w:rPr>
        <w:t>0</w:t>
      </w:r>
      <w:r>
        <w:rPr>
          <w:rFonts w:hint="eastAsia" w:ascii="仿宋_GB2312" w:hAnsi="仿宋_GB2312" w:eastAsia="仿宋_GB2312" w:cs="仿宋_GB2312"/>
          <w:color w:val="auto"/>
          <w:kern w:val="2"/>
          <w:sz w:val="32"/>
          <w:szCs w:val="32"/>
          <w:highlight w:val="none"/>
          <w:lang w:val="en-US" w:eastAsia="zh-CN" w:bidi="ar-SA"/>
        </w:rPr>
        <w:t>万元，占0%；公务用车购置及运行维护费支出决算</w:t>
      </w:r>
      <w:r>
        <w:rPr>
          <w:rFonts w:hint="eastAsia" w:ascii="仿宋_GB2312" w:hAnsi="仿宋_GB2312" w:eastAsia="仿宋_GB2312" w:cs="仿宋_GB2312"/>
          <w:sz w:val="32"/>
          <w:szCs w:val="32"/>
        </w:rPr>
        <w:t>0.92</w:t>
      </w:r>
      <w:r>
        <w:rPr>
          <w:rFonts w:hint="eastAsia" w:ascii="仿宋_GB2312" w:hAnsi="仿宋_GB2312" w:eastAsia="仿宋_GB2312" w:cs="仿宋_GB2312"/>
          <w:color w:val="auto"/>
          <w:kern w:val="2"/>
          <w:sz w:val="32"/>
          <w:szCs w:val="32"/>
          <w:highlight w:val="none"/>
          <w:lang w:val="en-US" w:eastAsia="zh-CN" w:bidi="ar-SA"/>
        </w:rPr>
        <w:t>万元，占35.80%；公务接待费支出决算</w:t>
      </w:r>
      <w:r>
        <w:rPr>
          <w:rFonts w:hint="eastAsia" w:ascii="仿宋_GB2312" w:hAnsi="仿宋_GB2312" w:eastAsia="仿宋_GB2312" w:cs="仿宋_GB2312"/>
          <w:sz w:val="32"/>
          <w:szCs w:val="32"/>
        </w:rPr>
        <w:t>1.65</w:t>
      </w:r>
      <w:r>
        <w:rPr>
          <w:rFonts w:hint="eastAsia" w:ascii="仿宋_GB2312" w:hAnsi="仿宋_GB2312" w:eastAsia="仿宋_GB2312" w:cs="仿宋_GB2312"/>
          <w:color w:val="auto"/>
          <w:kern w:val="2"/>
          <w:sz w:val="32"/>
          <w:szCs w:val="32"/>
          <w:highlight w:val="none"/>
          <w:lang w:val="en-US" w:eastAsia="zh-CN" w:bidi="ar-SA"/>
        </w:rPr>
        <w:t>万元，占64.20%。具体情况如下：</w:t>
      </w:r>
    </w:p>
    <w:p w14:paraId="13B6FC41">
      <w:pPr>
        <w:spacing w:line="600" w:lineRule="exact"/>
        <w:ind w:firstLine="640"/>
        <w:rPr>
          <w:rFonts w:hint="eastAsia" w:ascii="Times New Roman" w:hAnsi="Times New Roman" w:eastAsia="仿宋_GB2312" w:cs="仿宋_GB2312"/>
          <w:color w:val="auto"/>
          <w:kern w:val="2"/>
          <w:sz w:val="32"/>
          <w:szCs w:val="32"/>
          <w:highlight w:val="none"/>
          <w:lang w:val="en-US" w:eastAsia="zh-CN" w:bidi="ar-SA"/>
        </w:rPr>
      </w:pPr>
      <w:r>
        <w:drawing>
          <wp:anchor distT="0" distB="0" distL="114300" distR="114300" simplePos="0" relativeHeight="251661312" behindDoc="1" locked="0" layoutInCell="1" allowOverlap="1">
            <wp:simplePos x="0" y="0"/>
            <wp:positionH relativeFrom="column">
              <wp:posOffset>372745</wp:posOffset>
            </wp:positionH>
            <wp:positionV relativeFrom="paragraph">
              <wp:posOffset>109220</wp:posOffset>
            </wp:positionV>
            <wp:extent cx="3997325" cy="2190750"/>
            <wp:effectExtent l="4445" t="5080" r="17780" b="13970"/>
            <wp:wrapTight wrapText="bothSides">
              <wp:wrapPolygon>
                <wp:start x="-24" y="-50"/>
                <wp:lineTo x="-24" y="21550"/>
                <wp:lineTo x="21490" y="21550"/>
                <wp:lineTo x="21490" y="-50"/>
                <wp:lineTo x="-24" y="-50"/>
              </wp:wrapPolygon>
            </wp:wrapTight>
            <wp:docPr id="8" name="图表 3"/>
            <wp:cNvGraphicFramePr/>
            <a:graphic xmlns:a="http://schemas.openxmlformats.org/drawingml/2006/main">
              <a:graphicData uri="http://schemas.openxmlformats.org/drawingml/2006/chart">
                <c:chart xmlns:c="http://schemas.openxmlformats.org/drawingml/2006/chart" xmlns:r="http://schemas.openxmlformats.org/officeDocument/2006/relationships" r:id="rId15"/>
              </a:graphicData>
            </a:graphic>
          </wp:anchor>
        </w:drawing>
      </w:r>
    </w:p>
    <w:p w14:paraId="5A2460AE">
      <w:pPr>
        <w:spacing w:line="600" w:lineRule="exact"/>
        <w:ind w:firstLine="640"/>
        <w:rPr>
          <w:rFonts w:hint="eastAsia" w:ascii="Times New Roman" w:hAnsi="Times New Roman" w:eastAsia="仿宋_GB2312" w:cs="仿宋_GB2312"/>
          <w:color w:val="auto"/>
          <w:kern w:val="2"/>
          <w:sz w:val="32"/>
          <w:szCs w:val="32"/>
          <w:highlight w:val="none"/>
          <w:lang w:val="en-US" w:eastAsia="zh-CN" w:bidi="ar-SA"/>
        </w:rPr>
      </w:pPr>
    </w:p>
    <w:p w14:paraId="7B7E5BD6">
      <w:pPr>
        <w:spacing w:line="600" w:lineRule="exact"/>
        <w:ind w:firstLine="640"/>
        <w:rPr>
          <w:rFonts w:hint="eastAsia" w:ascii="Times New Roman" w:hAnsi="Times New Roman" w:eastAsia="仿宋_GB2312" w:cs="仿宋_GB2312"/>
          <w:color w:val="auto"/>
          <w:kern w:val="2"/>
          <w:sz w:val="32"/>
          <w:szCs w:val="32"/>
          <w:highlight w:val="none"/>
          <w:lang w:val="en-US" w:eastAsia="zh-CN" w:bidi="ar-SA"/>
        </w:rPr>
      </w:pPr>
    </w:p>
    <w:p w14:paraId="5CF0147C">
      <w:pPr>
        <w:spacing w:line="600" w:lineRule="exact"/>
        <w:ind w:firstLine="640"/>
        <w:rPr>
          <w:rFonts w:hint="eastAsia" w:ascii="Times New Roman" w:hAnsi="Times New Roman" w:eastAsia="仿宋_GB2312" w:cs="仿宋_GB2312"/>
          <w:color w:val="auto"/>
          <w:kern w:val="2"/>
          <w:sz w:val="32"/>
          <w:szCs w:val="32"/>
          <w:highlight w:val="none"/>
          <w:lang w:val="en-US" w:eastAsia="zh-CN" w:bidi="ar-SA"/>
        </w:rPr>
      </w:pPr>
    </w:p>
    <w:p w14:paraId="192CD456">
      <w:pPr>
        <w:spacing w:line="600" w:lineRule="exact"/>
        <w:ind w:firstLine="640"/>
        <w:rPr>
          <w:rFonts w:hint="eastAsia" w:ascii="Times New Roman" w:hAnsi="Times New Roman" w:eastAsia="仿宋_GB2312" w:cs="仿宋_GB2312"/>
          <w:color w:val="auto"/>
          <w:kern w:val="2"/>
          <w:sz w:val="32"/>
          <w:szCs w:val="32"/>
          <w:highlight w:val="none"/>
          <w:lang w:val="en-US" w:eastAsia="zh-CN" w:bidi="ar-SA"/>
        </w:rPr>
      </w:pPr>
    </w:p>
    <w:p w14:paraId="19F6102B">
      <w:pPr>
        <w:spacing w:line="600" w:lineRule="exact"/>
        <w:ind w:firstLine="640"/>
        <w:rPr>
          <w:rFonts w:hint="eastAsia" w:ascii="Times New Roman" w:hAnsi="Times New Roman" w:eastAsia="仿宋_GB2312" w:cs="仿宋_GB2312"/>
          <w:color w:val="auto"/>
          <w:kern w:val="2"/>
          <w:sz w:val="32"/>
          <w:szCs w:val="32"/>
          <w:highlight w:val="none"/>
          <w:lang w:val="en-US" w:eastAsia="zh-CN" w:bidi="ar-SA"/>
        </w:rPr>
      </w:pPr>
    </w:p>
    <w:p w14:paraId="17AE5193">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仿宋_GB2312" w:cs="仿宋_GB2312"/>
          <w:color w:val="auto"/>
          <w:kern w:val="2"/>
          <w:sz w:val="32"/>
          <w:szCs w:val="32"/>
          <w:highlight w:val="none"/>
          <w:lang w:val="en-US" w:eastAsia="zh-CN" w:bidi="ar-SA"/>
        </w:rPr>
      </w:pPr>
      <w:r>
        <w:rPr>
          <w:rFonts w:hint="eastAsia" w:ascii="仿宋_GB2312" w:hAnsi="仿宋_GB2312" w:eastAsia="仿宋_GB2312" w:cs="仿宋_GB2312"/>
          <w:color w:val="auto"/>
          <w:kern w:val="2"/>
          <w:sz w:val="32"/>
          <w:szCs w:val="32"/>
          <w:highlight w:val="none"/>
          <w:lang w:val="en-US" w:eastAsia="zh-CN" w:bidi="ar-SA"/>
        </w:rPr>
        <w:t>（图7：“三公”经费财政拨款支出结构）（饼状图）</w:t>
      </w:r>
    </w:p>
    <w:p w14:paraId="33B68774">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firstLine="643" w:firstLineChars="200"/>
        <w:jc w:val="both"/>
        <w:textAlignment w:val="auto"/>
        <w:rPr>
          <w:rFonts w:hint="eastAsia" w:ascii="仿宋_GB2312" w:hAnsi="仿宋_GB2312" w:eastAsia="仿宋_GB2312" w:cs="仿宋_GB2312"/>
          <w:sz w:val="32"/>
          <w:szCs w:val="32"/>
        </w:rPr>
      </w:pPr>
      <w:r>
        <w:rPr>
          <w:rFonts w:hint="eastAsia" w:eastAsia="仿宋_GB2312" w:cs="仿宋_GB2312"/>
          <w:b/>
          <w:bCs/>
          <w:color w:val="auto"/>
          <w:kern w:val="2"/>
          <w:sz w:val="32"/>
          <w:szCs w:val="32"/>
          <w:highlight w:val="none"/>
          <w:lang w:val="en-US" w:eastAsia="zh-CN" w:bidi="ar-SA"/>
        </w:rPr>
        <w:t>1.</w:t>
      </w:r>
      <w:r>
        <w:rPr>
          <w:rFonts w:hint="eastAsia" w:ascii="Times New Roman" w:hAnsi="Times New Roman" w:eastAsia="仿宋_GB2312" w:cs="仿宋_GB2312"/>
          <w:b/>
          <w:bCs/>
          <w:color w:val="auto"/>
          <w:kern w:val="2"/>
          <w:sz w:val="32"/>
          <w:szCs w:val="32"/>
          <w:highlight w:val="none"/>
          <w:lang w:val="en-US" w:eastAsia="zh-CN" w:bidi="ar-SA"/>
        </w:rPr>
        <w:t>因公出国（境）经费支出</w:t>
      </w:r>
      <w:r>
        <w:rPr>
          <w:rFonts w:hint="eastAsia" w:eastAsia="仿宋_GB2312" w:cs="仿宋_GB2312"/>
          <w:b/>
          <w:bCs/>
          <w:color w:val="auto"/>
          <w:kern w:val="2"/>
          <w:sz w:val="32"/>
          <w:szCs w:val="32"/>
          <w:highlight w:val="none"/>
          <w:lang w:val="en-US" w:eastAsia="zh-CN" w:bidi="ar-SA"/>
        </w:rPr>
        <w:t>0</w:t>
      </w:r>
      <w:r>
        <w:rPr>
          <w:rFonts w:hint="eastAsia" w:ascii="Times New Roman" w:hAnsi="Times New Roman" w:eastAsia="仿宋_GB2312" w:cs="仿宋_GB2312"/>
          <w:b/>
          <w:bCs/>
          <w:color w:val="auto"/>
          <w:kern w:val="2"/>
          <w:sz w:val="32"/>
          <w:szCs w:val="32"/>
          <w:highlight w:val="none"/>
          <w:lang w:val="en-US" w:eastAsia="zh-CN" w:bidi="ar-SA"/>
        </w:rPr>
        <w:t>万元，完成预算</w:t>
      </w:r>
      <w:r>
        <w:rPr>
          <w:rFonts w:hint="eastAsia" w:eastAsia="仿宋_GB2312" w:cs="仿宋_GB2312"/>
          <w:b/>
          <w:bCs/>
          <w:color w:val="auto"/>
          <w:kern w:val="2"/>
          <w:sz w:val="32"/>
          <w:szCs w:val="32"/>
          <w:highlight w:val="none"/>
          <w:lang w:val="en-US" w:eastAsia="zh-CN" w:bidi="ar-SA"/>
        </w:rPr>
        <w:t>0</w:t>
      </w:r>
      <w:r>
        <w:rPr>
          <w:rFonts w:hint="eastAsia" w:ascii="Times New Roman" w:hAnsi="Times New Roman" w:eastAsia="仿宋_GB2312" w:cs="仿宋_GB2312"/>
          <w:b/>
          <w:bCs/>
          <w:color w:val="auto"/>
          <w:kern w:val="2"/>
          <w:sz w:val="32"/>
          <w:szCs w:val="32"/>
          <w:highlight w:val="none"/>
          <w:lang w:val="en-US" w:eastAsia="zh-CN" w:bidi="ar-SA"/>
        </w:rPr>
        <w:t>%。</w:t>
      </w:r>
      <w:r>
        <w:rPr>
          <w:rFonts w:hint="eastAsia" w:ascii="仿宋_GB2312" w:hAnsi="仿宋_GB2312" w:eastAsia="仿宋_GB2312" w:cs="仿宋_GB2312"/>
          <w:color w:val="auto"/>
          <w:kern w:val="2"/>
          <w:sz w:val="32"/>
          <w:szCs w:val="32"/>
          <w:highlight w:val="none"/>
          <w:lang w:val="en-US" w:eastAsia="zh-CN" w:bidi="ar-SA"/>
        </w:rPr>
        <w:t>全年安排因公出国（境）团组</w:t>
      </w:r>
      <w:r>
        <w:rPr>
          <w:rFonts w:hint="eastAsia" w:ascii="仿宋_GB2312" w:hAnsi="仿宋_GB2312" w:eastAsia="仿宋_GB2312" w:cs="仿宋_GB2312"/>
          <w:sz w:val="32"/>
          <w:szCs w:val="32"/>
        </w:rPr>
        <w:t>0</w:t>
      </w:r>
      <w:r>
        <w:rPr>
          <w:rFonts w:hint="eastAsia" w:ascii="仿宋_GB2312" w:hAnsi="仿宋_GB2312" w:eastAsia="仿宋_GB2312" w:cs="仿宋_GB2312"/>
          <w:color w:val="auto"/>
          <w:kern w:val="2"/>
          <w:sz w:val="32"/>
          <w:szCs w:val="32"/>
          <w:highlight w:val="none"/>
          <w:lang w:val="en-US" w:eastAsia="zh-CN" w:bidi="ar-SA"/>
        </w:rPr>
        <w:t>次，出国（境）</w:t>
      </w:r>
      <w:r>
        <w:rPr>
          <w:rFonts w:hint="eastAsia" w:ascii="仿宋_GB2312" w:hAnsi="仿宋_GB2312" w:eastAsia="仿宋_GB2312" w:cs="仿宋_GB2312"/>
          <w:sz w:val="32"/>
          <w:szCs w:val="32"/>
        </w:rPr>
        <w:t>0</w:t>
      </w:r>
      <w:r>
        <w:rPr>
          <w:rFonts w:hint="eastAsia" w:ascii="仿宋_GB2312" w:hAnsi="仿宋_GB2312" w:eastAsia="仿宋_GB2312" w:cs="仿宋_GB2312"/>
          <w:color w:val="auto"/>
          <w:kern w:val="2"/>
          <w:sz w:val="32"/>
          <w:szCs w:val="32"/>
          <w:highlight w:val="none"/>
          <w:lang w:val="en-US" w:eastAsia="zh-CN" w:bidi="ar-SA"/>
        </w:rPr>
        <w:t>人。因公出国（境）支出决算比2023年度增加/减少0万元，增长/下降0%。主要原因是</w:t>
      </w:r>
      <w:r>
        <w:rPr>
          <w:rFonts w:hint="eastAsia" w:ascii="仿宋_GB2312" w:hAnsi="仿宋_GB2312" w:eastAsia="仿宋_GB2312" w:cs="仿宋_GB2312"/>
          <w:sz w:val="32"/>
          <w:szCs w:val="32"/>
        </w:rPr>
        <w:t>全年无因公出国（境）费用。</w:t>
      </w:r>
    </w:p>
    <w:p w14:paraId="659ACB0A">
      <w:pPr>
        <w:keepNext w:val="0"/>
        <w:keepLines w:val="0"/>
        <w:pageBreakBefore w:val="0"/>
        <w:widowControl w:val="0"/>
        <w:kinsoku/>
        <w:wordWrap/>
        <w:overflowPunct/>
        <w:topLinePunct w:val="0"/>
        <w:autoSpaceDE/>
        <w:autoSpaceDN/>
        <w:bidi w:val="0"/>
        <w:adjustRightInd/>
        <w:snapToGrid/>
        <w:spacing w:line="560" w:lineRule="exact"/>
        <w:ind w:left="0" w:firstLine="643" w:firstLineChars="200"/>
        <w:jc w:val="both"/>
        <w:textAlignment w:val="auto"/>
        <w:rPr>
          <w:rFonts w:hint="eastAsia" w:ascii="仿宋_GB2312" w:hAnsi="仿宋_GB2312" w:eastAsia="仿宋_GB2312" w:cs="仿宋_GB2312"/>
          <w:b/>
          <w:sz w:val="32"/>
          <w:szCs w:val="32"/>
        </w:rPr>
      </w:pPr>
      <w:r>
        <w:rPr>
          <w:rFonts w:hint="eastAsia" w:ascii="Times New Roman" w:hAnsi="Times New Roman" w:eastAsia="仿宋_GB2312" w:cs="仿宋_GB2312"/>
          <w:b/>
          <w:bCs/>
          <w:color w:val="auto"/>
          <w:kern w:val="2"/>
          <w:sz w:val="32"/>
          <w:szCs w:val="32"/>
          <w:highlight w:val="none"/>
          <w:lang w:val="en-US" w:eastAsia="zh-CN" w:bidi="ar-SA"/>
        </w:rPr>
        <w:t>2.公务用车购置及运行维护费支出</w:t>
      </w:r>
      <w:r>
        <w:rPr>
          <w:rFonts w:hint="eastAsia" w:ascii="仿宋_GB2312" w:hAnsi="仿宋_GB2312" w:eastAsia="仿宋_GB2312" w:cs="仿宋_GB2312"/>
          <w:b/>
          <w:bCs/>
          <w:color w:val="auto"/>
          <w:kern w:val="2"/>
          <w:sz w:val="32"/>
          <w:szCs w:val="32"/>
          <w:highlight w:val="none"/>
          <w:lang w:val="en-US" w:eastAsia="zh-CN" w:bidi="ar-SA"/>
        </w:rPr>
        <w:t>0.92万</w:t>
      </w:r>
      <w:r>
        <w:rPr>
          <w:rFonts w:hint="eastAsia" w:ascii="Times New Roman" w:hAnsi="Times New Roman" w:eastAsia="仿宋_GB2312" w:cs="仿宋_GB2312"/>
          <w:b/>
          <w:bCs/>
          <w:color w:val="auto"/>
          <w:kern w:val="2"/>
          <w:sz w:val="32"/>
          <w:szCs w:val="32"/>
          <w:highlight w:val="none"/>
          <w:lang w:val="en-US" w:eastAsia="zh-CN" w:bidi="ar-SA"/>
        </w:rPr>
        <w:t>元</w:t>
      </w:r>
      <w:r>
        <w:rPr>
          <w:rFonts w:hint="eastAsia" w:eastAsia="仿宋_GB2312" w:cs="仿宋_GB2312"/>
          <w:b/>
          <w:bCs/>
          <w:color w:val="auto"/>
          <w:kern w:val="2"/>
          <w:sz w:val="32"/>
          <w:szCs w:val="32"/>
          <w:highlight w:val="none"/>
          <w:lang w:val="en-US" w:eastAsia="zh-CN" w:bidi="ar-SA"/>
        </w:rPr>
        <w:t>，</w:t>
      </w:r>
      <w:r>
        <w:rPr>
          <w:rFonts w:hint="eastAsia" w:ascii="Times New Roman" w:hAnsi="Times New Roman" w:eastAsia="仿宋_GB2312" w:cs="仿宋_GB2312"/>
          <w:b/>
          <w:bCs/>
          <w:color w:val="auto"/>
          <w:kern w:val="2"/>
          <w:sz w:val="32"/>
          <w:szCs w:val="32"/>
          <w:highlight w:val="none"/>
          <w:lang w:val="en-US" w:eastAsia="zh-CN" w:bidi="ar-SA"/>
        </w:rPr>
        <w:t>完成预算</w:t>
      </w:r>
      <w:r>
        <w:rPr>
          <w:rFonts w:hint="eastAsia" w:eastAsia="仿宋_GB2312" w:cs="仿宋_GB2312"/>
          <w:b/>
          <w:bCs/>
          <w:color w:val="auto"/>
          <w:kern w:val="2"/>
          <w:sz w:val="32"/>
          <w:szCs w:val="32"/>
          <w:highlight w:val="none"/>
          <w:lang w:val="en-US" w:eastAsia="zh-CN" w:bidi="ar-SA"/>
        </w:rPr>
        <w:t>100</w:t>
      </w:r>
      <w:r>
        <w:rPr>
          <w:rFonts w:hint="eastAsia" w:ascii="Times New Roman" w:hAnsi="Times New Roman" w:eastAsia="仿宋_GB2312" w:cs="仿宋_GB2312"/>
          <w:b/>
          <w:bCs/>
          <w:color w:val="auto"/>
          <w:kern w:val="2"/>
          <w:sz w:val="32"/>
          <w:szCs w:val="32"/>
          <w:highlight w:val="none"/>
          <w:lang w:val="en-US" w:eastAsia="zh-CN" w:bidi="ar-SA"/>
        </w:rPr>
        <w:t>%。</w:t>
      </w:r>
      <w:r>
        <w:rPr>
          <w:rFonts w:hint="eastAsia" w:ascii="仿宋_GB2312" w:hAnsi="仿宋_GB2312" w:eastAsia="仿宋_GB2312" w:cs="仿宋_GB2312"/>
          <w:color w:val="auto"/>
          <w:kern w:val="2"/>
          <w:sz w:val="32"/>
          <w:szCs w:val="32"/>
          <w:highlight w:val="none"/>
          <w:lang w:val="en-US" w:eastAsia="zh-CN" w:bidi="ar-SA"/>
        </w:rPr>
        <w:t>公务用车购置及运行维护费支出决算比2023年度减少0.04万元，下降4.17%。主要原因是</w:t>
      </w:r>
      <w:r>
        <w:rPr>
          <w:rFonts w:hint="eastAsia" w:ascii="仿宋_GB2312" w:hAnsi="仿宋_GB2312" w:eastAsia="仿宋_GB2312" w:cs="仿宋_GB2312"/>
          <w:sz w:val="32"/>
          <w:szCs w:val="32"/>
        </w:rPr>
        <w:t>厉行节约，控制开支。</w:t>
      </w:r>
    </w:p>
    <w:p w14:paraId="2FBF860B">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jc w:val="both"/>
        <w:textAlignment w:val="auto"/>
        <w:rPr>
          <w:rFonts w:hint="eastAsia" w:ascii="仿宋_GB2312" w:hAnsi="仿宋_GB2312" w:eastAsia="仿宋_GB2312" w:cs="仿宋_GB2312"/>
          <w:color w:val="auto"/>
          <w:kern w:val="2"/>
          <w:sz w:val="32"/>
          <w:szCs w:val="32"/>
          <w:highlight w:val="none"/>
          <w:lang w:val="en-US" w:eastAsia="zh-CN" w:bidi="ar-SA"/>
        </w:rPr>
      </w:pPr>
      <w:r>
        <w:rPr>
          <w:rFonts w:hint="eastAsia" w:ascii="仿宋_GB2312" w:hAnsi="仿宋_GB2312" w:eastAsia="仿宋_GB2312" w:cs="仿宋_GB2312"/>
          <w:color w:val="auto"/>
          <w:kern w:val="2"/>
          <w:sz w:val="32"/>
          <w:szCs w:val="32"/>
          <w:highlight w:val="none"/>
          <w:lang w:val="en-US" w:eastAsia="zh-CN" w:bidi="ar-SA"/>
        </w:rPr>
        <w:t>其中：公务用车购置支出</w:t>
      </w:r>
      <w:r>
        <w:rPr>
          <w:rFonts w:hint="eastAsia" w:ascii="仿宋_GB2312" w:hAnsi="仿宋_GB2312" w:eastAsia="仿宋_GB2312" w:cs="仿宋_GB2312"/>
          <w:sz w:val="32"/>
          <w:szCs w:val="32"/>
        </w:rPr>
        <w:t>0</w:t>
      </w:r>
      <w:r>
        <w:rPr>
          <w:rFonts w:hint="eastAsia" w:ascii="仿宋_GB2312" w:hAnsi="仿宋_GB2312" w:eastAsia="仿宋_GB2312" w:cs="仿宋_GB2312"/>
          <w:color w:val="auto"/>
          <w:kern w:val="2"/>
          <w:sz w:val="32"/>
          <w:szCs w:val="32"/>
          <w:highlight w:val="none"/>
          <w:lang w:val="en-US" w:eastAsia="zh-CN" w:bidi="ar-SA"/>
        </w:rPr>
        <w:t>万元。全年按规定更新购置公务用车0辆，其中：轿车0辆、金额0万元，越野车0辆、金额0万元，载客汽车0辆、金额0万元，主要用于……。截至2024年12月31日，单位共有公务用车0辆，其中：轿车0辆、越野车0辆、载客汽车0辆。</w:t>
      </w:r>
    </w:p>
    <w:p w14:paraId="5E47DCD2">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公务用车运行维护费支出</w:t>
      </w:r>
      <w:r>
        <w:rPr>
          <w:rFonts w:hint="eastAsia" w:ascii="仿宋_GB2312" w:hAnsi="仿宋_GB2312" w:eastAsia="仿宋_GB2312" w:cs="仿宋_GB2312"/>
          <w:sz w:val="32"/>
          <w:szCs w:val="32"/>
        </w:rPr>
        <w:t>0.92</w:t>
      </w:r>
      <w:r>
        <w:rPr>
          <w:rFonts w:hint="eastAsia" w:ascii="仿宋_GB2312" w:hAnsi="仿宋_GB2312" w:eastAsia="仿宋_GB2312" w:cs="仿宋_GB2312"/>
          <w:sz w:val="32"/>
          <w:szCs w:val="32"/>
          <w:lang w:val="en-US" w:eastAsia="zh-CN"/>
        </w:rPr>
        <w:t>万元。主要用于</w:t>
      </w:r>
      <w:r>
        <w:rPr>
          <w:rFonts w:hint="eastAsia" w:ascii="仿宋_GB2312" w:hAnsi="仿宋_GB2312" w:eastAsia="仿宋_GB2312" w:cs="仿宋_GB2312"/>
          <w:sz w:val="32"/>
          <w:szCs w:val="32"/>
        </w:rPr>
        <w:t>文化、广电、体育、旅游工作等</w:t>
      </w:r>
      <w:r>
        <w:rPr>
          <w:rFonts w:hint="eastAsia" w:ascii="仿宋_GB2312" w:hAnsi="仿宋_GB2312" w:eastAsia="仿宋_GB2312" w:cs="仿宋_GB2312"/>
          <w:sz w:val="32"/>
          <w:szCs w:val="32"/>
          <w:lang w:val="en-US" w:eastAsia="zh-CN"/>
        </w:rPr>
        <w:t>所需的公务用车燃料费、维修费、过路过桥费、保险费等支出。</w:t>
      </w:r>
    </w:p>
    <w:p w14:paraId="2ABBC75A">
      <w:pPr>
        <w:keepNext w:val="0"/>
        <w:keepLines w:val="0"/>
        <w:pageBreakBefore w:val="0"/>
        <w:widowControl w:val="0"/>
        <w:kinsoku/>
        <w:wordWrap/>
        <w:overflowPunct/>
        <w:topLinePunct w:val="0"/>
        <w:autoSpaceDE/>
        <w:autoSpaceDN/>
        <w:bidi w:val="0"/>
        <w:adjustRightInd/>
        <w:snapToGrid/>
        <w:spacing w:line="560" w:lineRule="exact"/>
        <w:ind w:left="0" w:firstLine="643" w:firstLineChars="200"/>
        <w:jc w:val="both"/>
        <w:textAlignment w:val="auto"/>
        <w:rPr>
          <w:rFonts w:hint="eastAsia" w:ascii="仿宋_GB2312" w:hAnsi="仿宋_GB2312" w:eastAsia="仿宋_GB2312" w:cs="仿宋_GB2312"/>
          <w:color w:val="auto"/>
          <w:kern w:val="2"/>
          <w:sz w:val="32"/>
          <w:szCs w:val="32"/>
          <w:highlight w:val="none"/>
          <w:lang w:val="en-US" w:eastAsia="zh-CN" w:bidi="ar-SA"/>
        </w:rPr>
      </w:pPr>
      <w:r>
        <w:rPr>
          <w:rFonts w:hint="eastAsia" w:ascii="Times New Roman" w:hAnsi="Times New Roman" w:eastAsia="仿宋_GB2312" w:cs="仿宋_GB2312"/>
          <w:b/>
          <w:bCs/>
          <w:color w:val="auto"/>
          <w:kern w:val="2"/>
          <w:sz w:val="32"/>
          <w:szCs w:val="32"/>
          <w:highlight w:val="none"/>
          <w:lang w:val="en-US" w:eastAsia="zh-CN" w:bidi="ar-SA"/>
        </w:rPr>
        <w:t>3.公务接待费支出</w:t>
      </w:r>
      <w:r>
        <w:rPr>
          <w:rFonts w:hint="eastAsia" w:ascii="仿宋_GB2312" w:hAnsi="仿宋_GB2312" w:eastAsia="仿宋_GB2312" w:cs="仿宋_GB2312"/>
          <w:b/>
          <w:bCs/>
          <w:color w:val="auto"/>
          <w:kern w:val="2"/>
          <w:sz w:val="32"/>
          <w:szCs w:val="32"/>
          <w:highlight w:val="none"/>
          <w:lang w:val="en-US" w:eastAsia="zh-CN" w:bidi="ar-SA"/>
        </w:rPr>
        <w:t>1.65万</w:t>
      </w:r>
      <w:r>
        <w:rPr>
          <w:rFonts w:hint="eastAsia" w:ascii="Times New Roman" w:hAnsi="Times New Roman" w:eastAsia="仿宋_GB2312" w:cs="仿宋_GB2312"/>
          <w:b/>
          <w:bCs/>
          <w:color w:val="auto"/>
          <w:kern w:val="2"/>
          <w:sz w:val="32"/>
          <w:szCs w:val="32"/>
          <w:highlight w:val="none"/>
          <w:lang w:val="en-US" w:eastAsia="zh-CN" w:bidi="ar-SA"/>
        </w:rPr>
        <w:t>元，完成预算</w:t>
      </w:r>
      <w:r>
        <w:rPr>
          <w:rFonts w:hint="eastAsia" w:eastAsia="仿宋_GB2312" w:cs="仿宋_GB2312"/>
          <w:b/>
          <w:bCs/>
          <w:color w:val="auto"/>
          <w:kern w:val="2"/>
          <w:sz w:val="32"/>
          <w:szCs w:val="32"/>
          <w:highlight w:val="none"/>
          <w:lang w:val="en-US" w:eastAsia="zh-CN" w:bidi="ar-SA"/>
        </w:rPr>
        <w:t>100</w:t>
      </w:r>
      <w:r>
        <w:rPr>
          <w:rFonts w:hint="eastAsia" w:ascii="Times New Roman" w:hAnsi="Times New Roman" w:eastAsia="仿宋_GB2312" w:cs="仿宋_GB2312"/>
          <w:b/>
          <w:bCs/>
          <w:color w:val="auto"/>
          <w:kern w:val="2"/>
          <w:sz w:val="32"/>
          <w:szCs w:val="32"/>
          <w:highlight w:val="none"/>
          <w:lang w:val="en-US" w:eastAsia="zh-CN" w:bidi="ar-SA"/>
        </w:rPr>
        <w:t>%。</w:t>
      </w:r>
      <w:r>
        <w:rPr>
          <w:rFonts w:hint="eastAsia" w:ascii="仿宋_GB2312" w:hAnsi="仿宋_GB2312" w:eastAsia="仿宋_GB2312" w:cs="仿宋_GB2312"/>
          <w:color w:val="auto"/>
          <w:kern w:val="2"/>
          <w:sz w:val="32"/>
          <w:szCs w:val="32"/>
          <w:highlight w:val="none"/>
          <w:lang w:val="en-US" w:eastAsia="zh-CN" w:bidi="ar-SA"/>
        </w:rPr>
        <w:t>公务接待费支出决算比2023年度减少2.51万元，下降60.34%。主要原因是厉行节约，控制开支。其中：</w:t>
      </w:r>
    </w:p>
    <w:p w14:paraId="01A3A36D">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color w:val="auto"/>
          <w:kern w:val="2"/>
          <w:sz w:val="32"/>
          <w:szCs w:val="32"/>
          <w:highlight w:val="none"/>
          <w:lang w:val="en-US" w:eastAsia="zh-CN" w:bidi="ar-SA"/>
        </w:rPr>
        <w:t>国内公务接待支出</w:t>
      </w:r>
      <w:r>
        <w:rPr>
          <w:rFonts w:hint="eastAsia" w:ascii="仿宋_GB2312" w:hAnsi="仿宋_GB2312" w:eastAsia="仿宋_GB2312" w:cs="仿宋_GB2312"/>
          <w:sz w:val="32"/>
          <w:szCs w:val="32"/>
        </w:rPr>
        <w:t>1.65</w:t>
      </w:r>
      <w:r>
        <w:rPr>
          <w:rFonts w:hint="eastAsia" w:ascii="仿宋_GB2312" w:hAnsi="仿宋_GB2312" w:eastAsia="仿宋_GB2312" w:cs="仿宋_GB2312"/>
          <w:color w:val="auto"/>
          <w:kern w:val="2"/>
          <w:sz w:val="32"/>
          <w:szCs w:val="32"/>
          <w:highlight w:val="none"/>
          <w:lang w:val="en-US" w:eastAsia="zh-CN" w:bidi="ar-SA"/>
        </w:rPr>
        <w:t>万元，主要用于执行公务、开展业务活动开支的交通费、住宿费、用餐费等。国内公务接待</w:t>
      </w:r>
      <w:r>
        <w:rPr>
          <w:rFonts w:hint="eastAsia" w:ascii="仿宋_GB2312" w:hAnsi="仿宋_GB2312" w:eastAsia="仿宋_GB2312" w:cs="仿宋_GB2312"/>
          <w:sz w:val="32"/>
          <w:szCs w:val="32"/>
        </w:rPr>
        <w:t>25</w:t>
      </w:r>
      <w:r>
        <w:rPr>
          <w:rFonts w:hint="eastAsia" w:ascii="仿宋_GB2312" w:hAnsi="仿宋_GB2312" w:eastAsia="仿宋_GB2312" w:cs="仿宋_GB2312"/>
          <w:color w:val="auto"/>
          <w:kern w:val="2"/>
          <w:sz w:val="32"/>
          <w:szCs w:val="32"/>
          <w:highlight w:val="none"/>
          <w:lang w:val="en-US" w:eastAsia="zh-CN" w:bidi="ar-SA"/>
        </w:rPr>
        <w:t>批次，</w:t>
      </w:r>
      <w:r>
        <w:rPr>
          <w:rFonts w:hint="eastAsia" w:ascii="仿宋_GB2312" w:hAnsi="仿宋_GB2312" w:eastAsia="仿宋_GB2312" w:cs="仿宋_GB2312"/>
          <w:sz w:val="32"/>
          <w:szCs w:val="32"/>
        </w:rPr>
        <w:t>171</w:t>
      </w:r>
      <w:r>
        <w:rPr>
          <w:rFonts w:hint="eastAsia" w:ascii="仿宋_GB2312" w:hAnsi="仿宋_GB2312" w:eastAsia="仿宋_GB2312" w:cs="仿宋_GB2312"/>
          <w:color w:val="auto"/>
          <w:kern w:val="2"/>
          <w:sz w:val="32"/>
          <w:szCs w:val="32"/>
          <w:highlight w:val="none"/>
          <w:lang w:val="en-US" w:eastAsia="zh-CN" w:bidi="ar-SA"/>
        </w:rPr>
        <w:t>人次（不包括陪同人员），共计支出1.65万元，具体内容包括：</w:t>
      </w:r>
      <w:r>
        <w:rPr>
          <w:rFonts w:hint="eastAsia" w:ascii="仿宋_GB2312" w:hAnsi="仿宋_GB2312" w:eastAsia="仿宋_GB2312" w:cs="仿宋_GB2312"/>
          <w:sz w:val="32"/>
          <w:szCs w:val="32"/>
        </w:rPr>
        <w:t>接待文化、体育、广电、旅游等小型活动餐费、省市级领导来区检查接待餐饮住宿、招商引资以及日常工作餐费等所发生的费用。</w:t>
      </w:r>
    </w:p>
    <w:p w14:paraId="668FA9A9">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jc w:val="both"/>
        <w:textAlignment w:val="auto"/>
        <w:rPr>
          <w:rFonts w:hint="eastAsia" w:ascii="仿宋_GB2312" w:hAnsi="仿宋_GB2312" w:eastAsia="仿宋_GB2312" w:cs="仿宋_GB2312"/>
          <w:color w:val="auto"/>
          <w:kern w:val="2"/>
          <w:sz w:val="32"/>
          <w:szCs w:val="32"/>
          <w:highlight w:val="none"/>
          <w:lang w:val="en-US" w:eastAsia="zh-CN" w:bidi="ar-SA"/>
        </w:rPr>
      </w:pPr>
      <w:r>
        <w:rPr>
          <w:rFonts w:hint="eastAsia" w:ascii="仿宋_GB2312" w:hAnsi="仿宋_GB2312" w:eastAsia="仿宋_GB2312" w:cs="仿宋_GB2312"/>
          <w:color w:val="auto"/>
          <w:kern w:val="2"/>
          <w:sz w:val="32"/>
          <w:szCs w:val="32"/>
          <w:highlight w:val="none"/>
          <w:lang w:val="en-US" w:eastAsia="zh-CN" w:bidi="ar-SA"/>
        </w:rPr>
        <w:t>外事接待支出</w:t>
      </w:r>
      <w:r>
        <w:rPr>
          <w:rFonts w:hint="eastAsia" w:ascii="仿宋_GB2312" w:hAnsi="仿宋_GB2312" w:eastAsia="仿宋_GB2312" w:cs="仿宋_GB2312"/>
          <w:sz w:val="32"/>
          <w:szCs w:val="32"/>
        </w:rPr>
        <w:t>0</w:t>
      </w:r>
      <w:r>
        <w:rPr>
          <w:rFonts w:hint="eastAsia" w:ascii="仿宋_GB2312" w:hAnsi="仿宋_GB2312" w:eastAsia="仿宋_GB2312" w:cs="仿宋_GB2312"/>
          <w:color w:val="auto"/>
          <w:kern w:val="2"/>
          <w:sz w:val="32"/>
          <w:szCs w:val="32"/>
          <w:highlight w:val="none"/>
          <w:lang w:val="en-US" w:eastAsia="zh-CN" w:bidi="ar-SA"/>
        </w:rPr>
        <w:t>万元，</w:t>
      </w:r>
      <w:r>
        <w:rPr>
          <w:rFonts w:hint="eastAsia" w:ascii="仿宋_GB2312" w:hAnsi="仿宋_GB2312" w:eastAsia="仿宋_GB2312" w:cs="仿宋_GB2312"/>
          <w:sz w:val="32"/>
          <w:szCs w:val="32"/>
        </w:rPr>
        <w:t>全年无外事接待费支出</w:t>
      </w:r>
      <w:r>
        <w:rPr>
          <w:rFonts w:hint="eastAsia" w:ascii="仿宋_GB2312" w:hAnsi="仿宋_GB2312" w:eastAsia="仿宋_GB2312" w:cs="仿宋_GB2312"/>
          <w:color w:val="auto"/>
          <w:kern w:val="2"/>
          <w:sz w:val="32"/>
          <w:szCs w:val="32"/>
          <w:highlight w:val="none"/>
          <w:lang w:val="en-US" w:eastAsia="zh-CN" w:bidi="ar-SA"/>
        </w:rPr>
        <w:t>。外事接待</w:t>
      </w:r>
      <w:r>
        <w:rPr>
          <w:rFonts w:hint="eastAsia" w:ascii="仿宋_GB2312" w:hAnsi="仿宋_GB2312" w:eastAsia="仿宋_GB2312" w:cs="仿宋_GB2312"/>
          <w:sz w:val="32"/>
          <w:szCs w:val="32"/>
        </w:rPr>
        <w:t>0</w:t>
      </w:r>
      <w:r>
        <w:rPr>
          <w:rFonts w:hint="eastAsia" w:ascii="仿宋_GB2312" w:hAnsi="仿宋_GB2312" w:eastAsia="仿宋_GB2312" w:cs="仿宋_GB2312"/>
          <w:color w:val="auto"/>
          <w:kern w:val="2"/>
          <w:sz w:val="32"/>
          <w:szCs w:val="32"/>
          <w:highlight w:val="none"/>
          <w:lang w:val="en-US" w:eastAsia="zh-CN" w:bidi="ar-SA"/>
        </w:rPr>
        <w:t>批次，</w:t>
      </w:r>
      <w:r>
        <w:rPr>
          <w:rFonts w:hint="eastAsia" w:ascii="仿宋_GB2312" w:hAnsi="仿宋_GB2312" w:eastAsia="仿宋_GB2312" w:cs="仿宋_GB2312"/>
          <w:sz w:val="32"/>
          <w:szCs w:val="32"/>
        </w:rPr>
        <w:t>0</w:t>
      </w:r>
      <w:r>
        <w:rPr>
          <w:rFonts w:hint="eastAsia" w:ascii="仿宋_GB2312" w:hAnsi="仿宋_GB2312" w:eastAsia="仿宋_GB2312" w:cs="仿宋_GB2312"/>
          <w:color w:val="auto"/>
          <w:kern w:val="2"/>
          <w:sz w:val="32"/>
          <w:szCs w:val="32"/>
          <w:highlight w:val="none"/>
          <w:lang w:val="en-US" w:eastAsia="zh-CN" w:bidi="ar-SA"/>
        </w:rPr>
        <w:t>人次（不包括陪同人员），共计支出0万元。</w:t>
      </w:r>
      <w:bookmarkStart w:id="48" w:name="_Toc15377218"/>
      <w:bookmarkStart w:id="49" w:name="_Toc15396610"/>
    </w:p>
    <w:p w14:paraId="6D807C94">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jc w:val="both"/>
        <w:textAlignment w:val="auto"/>
        <w:outlineLvl w:val="1"/>
        <w:rPr>
          <w:rStyle w:val="30"/>
          <w:rFonts w:ascii="Times New Roman" w:hAnsi="Times New Roman" w:eastAsia="黑体"/>
          <w:color w:val="auto"/>
          <w:highlight w:val="none"/>
        </w:rPr>
      </w:pPr>
      <w:bookmarkStart w:id="50" w:name="_Toc8716"/>
      <w:r>
        <w:rPr>
          <w:rFonts w:hint="eastAsia" w:ascii="Times New Roman" w:hAnsi="Times New Roman" w:eastAsia="黑体"/>
          <w:color w:val="auto"/>
          <w:sz w:val="32"/>
          <w:szCs w:val="32"/>
          <w:highlight w:val="none"/>
        </w:rPr>
        <w:t>八、</w:t>
      </w:r>
      <w:r>
        <w:rPr>
          <w:rStyle w:val="30"/>
          <w:rFonts w:hint="eastAsia" w:ascii="Times New Roman" w:hAnsi="Times New Roman" w:eastAsia="黑体"/>
          <w:b w:val="0"/>
          <w:color w:val="auto"/>
          <w:highlight w:val="none"/>
        </w:rPr>
        <w:t>政府性基金预算支出决算情况说明</w:t>
      </w:r>
      <w:bookmarkEnd w:id="48"/>
      <w:bookmarkEnd w:id="49"/>
      <w:bookmarkEnd w:id="50"/>
    </w:p>
    <w:p w14:paraId="48F6E8E5">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jc w:val="both"/>
        <w:textAlignment w:val="auto"/>
        <w:rPr>
          <w:rFonts w:hint="eastAsia" w:ascii="仿宋_GB2312" w:hAnsi="仿宋_GB2312" w:eastAsia="仿宋_GB2312" w:cs="仿宋_GB2312"/>
          <w:color w:val="auto"/>
          <w:kern w:val="2"/>
          <w:sz w:val="32"/>
          <w:szCs w:val="32"/>
          <w:highlight w:val="none"/>
          <w:lang w:val="en-US" w:eastAsia="zh-CN" w:bidi="ar-SA"/>
        </w:rPr>
      </w:pPr>
      <w:r>
        <w:rPr>
          <w:rFonts w:hint="eastAsia" w:ascii="仿宋_GB2312" w:hAnsi="仿宋_GB2312" w:eastAsia="仿宋_GB2312" w:cs="仿宋_GB2312"/>
          <w:color w:val="auto"/>
          <w:kern w:val="2"/>
          <w:sz w:val="32"/>
          <w:szCs w:val="32"/>
          <w:highlight w:val="none"/>
          <w:lang w:val="en-US" w:eastAsia="zh-CN" w:bidi="ar-SA"/>
        </w:rPr>
        <w:t>2024年度政府性基金预算财政拨款支出</w:t>
      </w:r>
      <w:r>
        <w:rPr>
          <w:rFonts w:hint="eastAsia" w:ascii="仿宋_GB2312" w:hAnsi="仿宋_GB2312" w:eastAsia="仿宋_GB2312" w:cs="仿宋_GB2312"/>
          <w:sz w:val="32"/>
          <w:szCs w:val="32"/>
        </w:rPr>
        <w:t>44.73</w:t>
      </w:r>
      <w:r>
        <w:rPr>
          <w:rFonts w:hint="eastAsia" w:ascii="仿宋_GB2312" w:hAnsi="仿宋_GB2312" w:eastAsia="仿宋_GB2312" w:cs="仿宋_GB2312"/>
          <w:color w:val="auto"/>
          <w:kern w:val="2"/>
          <w:sz w:val="32"/>
          <w:szCs w:val="32"/>
          <w:highlight w:val="none"/>
          <w:lang w:val="en-US" w:eastAsia="zh-CN" w:bidi="ar-SA"/>
        </w:rPr>
        <w:t>万元，占本年支出合计的</w:t>
      </w:r>
      <w:r>
        <w:rPr>
          <w:rFonts w:hint="eastAsia" w:ascii="仿宋_GB2312" w:hAnsi="仿宋_GB2312" w:eastAsia="仿宋_GB2312" w:cs="仿宋_GB2312"/>
          <w:sz w:val="32"/>
          <w:szCs w:val="32"/>
        </w:rPr>
        <w:t>4.28</w:t>
      </w:r>
      <w:r>
        <w:rPr>
          <w:rFonts w:hint="eastAsia" w:ascii="仿宋_GB2312" w:hAnsi="仿宋_GB2312" w:eastAsia="仿宋_GB2312" w:cs="仿宋_GB2312"/>
          <w:color w:val="auto"/>
          <w:kern w:val="2"/>
          <w:sz w:val="32"/>
          <w:szCs w:val="32"/>
          <w:highlight w:val="none"/>
          <w:lang w:val="en-US" w:eastAsia="zh-CN" w:bidi="ar-SA"/>
        </w:rPr>
        <w:t>%。与2023年度相比，政府性基金预算财政拨款支出增加36.73万元，增长459.13%。主要变动原因是体彩公益金经费支出增加。</w:t>
      </w:r>
    </w:p>
    <w:p w14:paraId="62FC46FD">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640" w:firstLineChars="200"/>
        <w:jc w:val="both"/>
        <w:textAlignment w:val="auto"/>
        <w:outlineLvl w:val="1"/>
        <w:rPr>
          <w:rStyle w:val="30"/>
          <w:rFonts w:ascii="Times New Roman" w:hAnsi="Times New Roman" w:eastAsia="黑体"/>
          <w:b w:val="0"/>
          <w:color w:val="auto"/>
          <w:highlight w:val="none"/>
        </w:rPr>
      </w:pPr>
      <w:bookmarkStart w:id="51" w:name="_Toc15377219"/>
      <w:bookmarkStart w:id="52" w:name="_Toc15396611"/>
      <w:bookmarkStart w:id="53" w:name="_Toc12945"/>
      <w:r>
        <w:rPr>
          <w:rStyle w:val="30"/>
          <w:rFonts w:hint="eastAsia" w:ascii="Times New Roman" w:hAnsi="Times New Roman" w:eastAsia="黑体"/>
          <w:b w:val="0"/>
          <w:color w:val="auto"/>
          <w:highlight w:val="none"/>
          <w:lang w:eastAsia="zh-CN"/>
        </w:rPr>
        <w:t>九、</w:t>
      </w:r>
      <w:r>
        <w:rPr>
          <w:rStyle w:val="30"/>
          <w:rFonts w:hint="eastAsia" w:ascii="Times New Roman" w:hAnsi="Times New Roman" w:eastAsia="黑体"/>
          <w:b w:val="0"/>
          <w:color w:val="auto"/>
          <w:highlight w:val="none"/>
        </w:rPr>
        <w:t>国有资本经营预算支出决算情况说明</w:t>
      </w:r>
      <w:bookmarkEnd w:id="51"/>
      <w:bookmarkEnd w:id="52"/>
      <w:bookmarkEnd w:id="53"/>
    </w:p>
    <w:p w14:paraId="4FAC8C38">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jc w:val="both"/>
        <w:textAlignment w:val="auto"/>
        <w:rPr>
          <w:rFonts w:hint="eastAsia" w:ascii="仿宋_GB2312" w:hAnsi="仿宋_GB2312" w:eastAsia="仿宋_GB2312" w:cs="仿宋_GB2312"/>
          <w:color w:val="auto"/>
          <w:kern w:val="2"/>
          <w:sz w:val="32"/>
          <w:szCs w:val="32"/>
          <w:highlight w:val="none"/>
          <w:lang w:val="en-US" w:eastAsia="zh-CN" w:bidi="ar-SA"/>
        </w:rPr>
      </w:pPr>
      <w:r>
        <w:rPr>
          <w:rFonts w:hint="eastAsia" w:ascii="仿宋_GB2312" w:hAnsi="仿宋_GB2312" w:eastAsia="仿宋_GB2312" w:cs="仿宋_GB2312"/>
          <w:color w:val="auto"/>
          <w:kern w:val="2"/>
          <w:sz w:val="32"/>
          <w:szCs w:val="32"/>
          <w:highlight w:val="none"/>
          <w:lang w:val="en-US" w:eastAsia="zh-CN" w:bidi="ar-SA"/>
        </w:rPr>
        <w:t>2024年度国有资本经营预算财政拨款支出</w:t>
      </w:r>
      <w:r>
        <w:rPr>
          <w:rFonts w:hint="eastAsia" w:ascii="仿宋_GB2312" w:hAnsi="仿宋_GB2312" w:eastAsia="仿宋_GB2312" w:cs="仿宋_GB2312"/>
          <w:sz w:val="32"/>
          <w:szCs w:val="32"/>
        </w:rPr>
        <w:t>0</w:t>
      </w:r>
      <w:r>
        <w:rPr>
          <w:rFonts w:hint="eastAsia" w:ascii="仿宋_GB2312" w:hAnsi="仿宋_GB2312" w:eastAsia="仿宋_GB2312" w:cs="仿宋_GB2312"/>
          <w:color w:val="auto"/>
          <w:kern w:val="2"/>
          <w:sz w:val="32"/>
          <w:szCs w:val="32"/>
          <w:highlight w:val="none"/>
          <w:lang w:val="en-US" w:eastAsia="zh-CN" w:bidi="ar-SA"/>
        </w:rPr>
        <w:t>万元，占本年支出合计的</w:t>
      </w:r>
      <w:r>
        <w:rPr>
          <w:rFonts w:hint="eastAsia" w:ascii="仿宋_GB2312" w:hAnsi="仿宋_GB2312" w:eastAsia="仿宋_GB2312" w:cs="仿宋_GB2312"/>
          <w:sz w:val="32"/>
          <w:szCs w:val="32"/>
        </w:rPr>
        <w:t>0</w:t>
      </w:r>
      <w:r>
        <w:rPr>
          <w:rFonts w:hint="eastAsia" w:ascii="仿宋_GB2312" w:hAnsi="仿宋_GB2312" w:eastAsia="仿宋_GB2312" w:cs="仿宋_GB2312"/>
          <w:color w:val="auto"/>
          <w:kern w:val="2"/>
          <w:sz w:val="32"/>
          <w:szCs w:val="32"/>
          <w:highlight w:val="none"/>
          <w:lang w:val="en-US" w:eastAsia="zh-CN" w:bidi="ar-SA"/>
        </w:rPr>
        <w:t>%。与2023年度相比，国有资本经营预算财政拨款支出增加/减少0万元，增长/下降0%。</w:t>
      </w:r>
    </w:p>
    <w:p w14:paraId="59B820DC">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640" w:firstLineChars="200"/>
        <w:jc w:val="both"/>
        <w:textAlignment w:val="auto"/>
        <w:outlineLvl w:val="1"/>
        <w:rPr>
          <w:rStyle w:val="30"/>
          <w:rFonts w:hint="eastAsia" w:ascii="Times New Roman" w:hAnsi="Times New Roman" w:eastAsia="黑体"/>
          <w:b w:val="0"/>
          <w:color w:val="auto"/>
          <w:highlight w:val="none"/>
        </w:rPr>
      </w:pPr>
      <w:bookmarkStart w:id="54" w:name="_Toc15396612"/>
      <w:bookmarkStart w:id="55" w:name="_Toc15377221"/>
      <w:bookmarkStart w:id="56" w:name="_Toc22037"/>
      <w:r>
        <w:rPr>
          <w:rStyle w:val="30"/>
          <w:rFonts w:hint="eastAsia" w:ascii="Times New Roman" w:hAnsi="Times New Roman" w:eastAsia="黑体"/>
          <w:b w:val="0"/>
          <w:color w:val="auto"/>
          <w:highlight w:val="none"/>
          <w:lang w:eastAsia="zh-CN"/>
        </w:rPr>
        <w:t>十、</w:t>
      </w:r>
      <w:r>
        <w:rPr>
          <w:rStyle w:val="30"/>
          <w:rFonts w:hint="eastAsia" w:ascii="Times New Roman" w:hAnsi="Times New Roman" w:eastAsia="黑体"/>
          <w:b w:val="0"/>
          <w:color w:val="auto"/>
          <w:highlight w:val="none"/>
        </w:rPr>
        <w:t>其他重要事项的情况说明</w:t>
      </w:r>
      <w:bookmarkEnd w:id="54"/>
      <w:bookmarkEnd w:id="55"/>
      <w:bookmarkEnd w:id="56"/>
    </w:p>
    <w:p w14:paraId="44CC80D9">
      <w:pPr>
        <w:keepNext w:val="0"/>
        <w:keepLines w:val="0"/>
        <w:pageBreakBefore w:val="0"/>
        <w:widowControl w:val="0"/>
        <w:kinsoku/>
        <w:wordWrap/>
        <w:overflowPunct/>
        <w:topLinePunct w:val="0"/>
        <w:autoSpaceDE/>
        <w:autoSpaceDN/>
        <w:bidi w:val="0"/>
        <w:adjustRightInd/>
        <w:snapToGrid/>
        <w:spacing w:line="560" w:lineRule="exact"/>
        <w:ind w:left="0" w:firstLine="643" w:firstLineChars="200"/>
        <w:jc w:val="both"/>
        <w:textAlignment w:val="auto"/>
        <w:outlineLvl w:val="2"/>
        <w:rPr>
          <w:rFonts w:hint="eastAsia" w:ascii="Times New Roman" w:hAnsi="Times New Roman" w:eastAsia="楷体_GB2312" w:cs="楷体_GB2312"/>
          <w:b/>
          <w:color w:val="auto"/>
          <w:sz w:val="32"/>
          <w:szCs w:val="32"/>
          <w:highlight w:val="none"/>
        </w:rPr>
      </w:pPr>
      <w:bookmarkStart w:id="57" w:name="_Toc15377222"/>
      <w:r>
        <w:rPr>
          <w:rFonts w:hint="eastAsia" w:ascii="Times New Roman" w:hAnsi="Times New Roman" w:eastAsia="楷体_GB2312" w:cs="楷体_GB2312"/>
          <w:b/>
          <w:color w:val="auto"/>
          <w:sz w:val="32"/>
          <w:szCs w:val="32"/>
          <w:highlight w:val="none"/>
        </w:rPr>
        <w:t>（一）机关运行经费支出情况</w:t>
      </w:r>
      <w:bookmarkEnd w:id="57"/>
    </w:p>
    <w:p w14:paraId="7DD22DFA">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jc w:val="both"/>
        <w:textAlignment w:val="auto"/>
        <w:rPr>
          <w:rFonts w:hint="eastAsia" w:ascii="仿宋_GB2312" w:hAnsi="仿宋_GB2312" w:eastAsia="仿宋_GB2312" w:cs="仿宋_GB2312"/>
          <w:color w:val="auto"/>
          <w:kern w:val="2"/>
          <w:sz w:val="32"/>
          <w:szCs w:val="32"/>
          <w:highlight w:val="none"/>
          <w:lang w:val="en-US" w:eastAsia="zh-CN" w:bidi="ar-SA"/>
        </w:rPr>
      </w:pPr>
      <w:r>
        <w:rPr>
          <w:rFonts w:hint="eastAsia" w:ascii="仿宋_GB2312" w:hAnsi="仿宋_GB2312" w:eastAsia="仿宋_GB2312" w:cs="仿宋_GB2312"/>
          <w:color w:val="auto"/>
          <w:kern w:val="2"/>
          <w:sz w:val="32"/>
          <w:szCs w:val="32"/>
          <w:highlight w:val="none"/>
          <w:lang w:val="en-US" w:eastAsia="zh-CN" w:bidi="ar-SA"/>
        </w:rPr>
        <w:t>2024年度，</w:t>
      </w:r>
      <w:r>
        <w:rPr>
          <w:rFonts w:hint="eastAsia" w:ascii="仿宋_GB2312" w:hAnsi="仿宋_GB2312" w:eastAsia="仿宋_GB2312" w:cs="仿宋_GB2312"/>
          <w:sz w:val="32"/>
          <w:szCs w:val="32"/>
        </w:rPr>
        <w:t>乐山市金口河区文化广播电视体育和旅游局</w:t>
      </w:r>
      <w:r>
        <w:rPr>
          <w:rFonts w:hint="eastAsia" w:ascii="仿宋_GB2312" w:hAnsi="仿宋_GB2312" w:eastAsia="仿宋_GB2312" w:cs="仿宋_GB2312"/>
          <w:color w:val="auto"/>
          <w:kern w:val="2"/>
          <w:sz w:val="32"/>
          <w:szCs w:val="32"/>
          <w:highlight w:val="none"/>
          <w:lang w:val="en-US" w:eastAsia="zh-CN" w:bidi="ar-SA"/>
        </w:rPr>
        <w:t>机关运行经费支出</w:t>
      </w:r>
      <w:r>
        <w:rPr>
          <w:rFonts w:hint="eastAsia" w:ascii="仿宋_GB2312" w:hAnsi="仿宋_GB2312" w:eastAsia="仿宋_GB2312" w:cs="仿宋_GB2312"/>
          <w:sz w:val="32"/>
          <w:szCs w:val="32"/>
        </w:rPr>
        <w:t>63.01</w:t>
      </w:r>
      <w:r>
        <w:rPr>
          <w:rFonts w:hint="eastAsia" w:ascii="仿宋_GB2312" w:hAnsi="仿宋_GB2312" w:eastAsia="仿宋_GB2312" w:cs="仿宋_GB2312"/>
          <w:color w:val="auto"/>
          <w:kern w:val="2"/>
          <w:sz w:val="32"/>
          <w:szCs w:val="32"/>
          <w:highlight w:val="none"/>
          <w:lang w:val="en-US" w:eastAsia="zh-CN" w:bidi="ar-SA"/>
        </w:rPr>
        <w:t>万元，比2023年度增加2.88万元，增长4.79%。主要原因是人员增加。</w:t>
      </w:r>
    </w:p>
    <w:p w14:paraId="23578F5B">
      <w:pPr>
        <w:keepNext w:val="0"/>
        <w:keepLines w:val="0"/>
        <w:pageBreakBefore w:val="0"/>
        <w:widowControl w:val="0"/>
        <w:kinsoku/>
        <w:wordWrap/>
        <w:overflowPunct/>
        <w:topLinePunct w:val="0"/>
        <w:autoSpaceDE/>
        <w:autoSpaceDN/>
        <w:bidi w:val="0"/>
        <w:adjustRightInd/>
        <w:snapToGrid/>
        <w:spacing w:line="560" w:lineRule="exact"/>
        <w:ind w:left="0" w:firstLine="643" w:firstLineChars="200"/>
        <w:jc w:val="both"/>
        <w:textAlignment w:val="auto"/>
        <w:outlineLvl w:val="2"/>
        <w:rPr>
          <w:rFonts w:hint="eastAsia" w:ascii="Times New Roman" w:hAnsi="Times New Roman" w:eastAsia="楷体_GB2312" w:cs="楷体_GB2312"/>
          <w:b/>
          <w:color w:val="auto"/>
          <w:sz w:val="32"/>
          <w:szCs w:val="32"/>
          <w:highlight w:val="none"/>
        </w:rPr>
      </w:pPr>
      <w:bookmarkStart w:id="58" w:name="_Toc15377223"/>
      <w:r>
        <w:rPr>
          <w:rFonts w:hint="eastAsia" w:ascii="Times New Roman" w:hAnsi="Times New Roman" w:eastAsia="楷体_GB2312" w:cs="楷体_GB2312"/>
          <w:b/>
          <w:color w:val="auto"/>
          <w:sz w:val="32"/>
          <w:szCs w:val="32"/>
          <w:highlight w:val="none"/>
        </w:rPr>
        <w:t>（二）政府采购支出情况</w:t>
      </w:r>
      <w:bookmarkEnd w:id="58"/>
    </w:p>
    <w:p w14:paraId="14DF6102">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jc w:val="both"/>
        <w:textAlignment w:val="auto"/>
        <w:rPr>
          <w:rFonts w:hint="eastAsia" w:ascii="仿宋_GB2312" w:hAnsi="仿宋_GB2312" w:eastAsia="仿宋_GB2312" w:cs="仿宋_GB2312"/>
          <w:color w:val="auto"/>
          <w:kern w:val="2"/>
          <w:sz w:val="32"/>
          <w:szCs w:val="32"/>
          <w:highlight w:val="none"/>
          <w:lang w:val="en-US" w:eastAsia="zh-CN" w:bidi="ar-SA"/>
        </w:rPr>
      </w:pPr>
      <w:r>
        <w:rPr>
          <w:rFonts w:hint="eastAsia" w:ascii="仿宋_GB2312" w:hAnsi="仿宋_GB2312" w:eastAsia="仿宋_GB2312" w:cs="仿宋_GB2312"/>
          <w:color w:val="auto"/>
          <w:kern w:val="2"/>
          <w:sz w:val="32"/>
          <w:szCs w:val="32"/>
          <w:highlight w:val="none"/>
          <w:lang w:val="en-US" w:eastAsia="zh-CN" w:bidi="ar-SA"/>
        </w:rPr>
        <w:t>2024年度，</w:t>
      </w:r>
      <w:r>
        <w:rPr>
          <w:rFonts w:hint="eastAsia" w:ascii="仿宋_GB2312" w:hAnsi="仿宋_GB2312" w:eastAsia="仿宋_GB2312" w:cs="仿宋_GB2312"/>
          <w:sz w:val="32"/>
          <w:szCs w:val="32"/>
        </w:rPr>
        <w:t>乐山市金口河区文化广播电视体育和旅游局</w:t>
      </w:r>
      <w:r>
        <w:rPr>
          <w:rFonts w:hint="eastAsia" w:ascii="仿宋_GB2312" w:hAnsi="仿宋_GB2312" w:eastAsia="仿宋_GB2312" w:cs="仿宋_GB2312"/>
          <w:color w:val="auto"/>
          <w:kern w:val="2"/>
          <w:sz w:val="32"/>
          <w:szCs w:val="32"/>
          <w:highlight w:val="none"/>
          <w:lang w:val="en-US" w:eastAsia="zh-CN" w:bidi="ar-SA"/>
        </w:rPr>
        <w:t>政府采购支出总额</w:t>
      </w:r>
      <w:r>
        <w:rPr>
          <w:rFonts w:hint="eastAsia" w:ascii="仿宋_GB2312" w:hAnsi="仿宋_GB2312" w:eastAsia="仿宋_GB2312" w:cs="仿宋_GB2312"/>
          <w:sz w:val="32"/>
          <w:szCs w:val="32"/>
        </w:rPr>
        <w:t>34.25</w:t>
      </w:r>
      <w:r>
        <w:rPr>
          <w:rFonts w:hint="eastAsia" w:ascii="仿宋_GB2312" w:hAnsi="仿宋_GB2312" w:eastAsia="仿宋_GB2312" w:cs="仿宋_GB2312"/>
          <w:color w:val="auto"/>
          <w:kern w:val="2"/>
          <w:sz w:val="32"/>
          <w:szCs w:val="32"/>
          <w:highlight w:val="none"/>
          <w:lang w:val="en-US" w:eastAsia="zh-CN" w:bidi="ar-SA"/>
        </w:rPr>
        <w:t>万元，其中：政府采购货物支出</w:t>
      </w:r>
      <w:r>
        <w:rPr>
          <w:rFonts w:hint="eastAsia" w:ascii="仿宋_GB2312" w:hAnsi="仿宋_GB2312" w:eastAsia="仿宋_GB2312" w:cs="仿宋_GB2312"/>
          <w:sz w:val="32"/>
          <w:szCs w:val="32"/>
        </w:rPr>
        <w:t>34.25</w:t>
      </w:r>
      <w:r>
        <w:rPr>
          <w:rFonts w:hint="eastAsia" w:ascii="仿宋_GB2312" w:hAnsi="仿宋_GB2312" w:eastAsia="仿宋_GB2312" w:cs="仿宋_GB2312"/>
          <w:color w:val="auto"/>
          <w:kern w:val="2"/>
          <w:sz w:val="32"/>
          <w:szCs w:val="32"/>
          <w:highlight w:val="none"/>
          <w:lang w:val="en-US" w:eastAsia="zh-CN" w:bidi="ar-SA"/>
        </w:rPr>
        <w:t>万元、政府采购工程支出</w:t>
      </w:r>
      <w:r>
        <w:rPr>
          <w:rFonts w:hint="eastAsia" w:ascii="仿宋_GB2312" w:hAnsi="仿宋_GB2312" w:eastAsia="仿宋_GB2312" w:cs="仿宋_GB2312"/>
          <w:sz w:val="32"/>
          <w:szCs w:val="32"/>
        </w:rPr>
        <w:t>0</w:t>
      </w:r>
      <w:r>
        <w:rPr>
          <w:rFonts w:hint="eastAsia" w:ascii="仿宋_GB2312" w:hAnsi="仿宋_GB2312" w:eastAsia="仿宋_GB2312" w:cs="仿宋_GB2312"/>
          <w:color w:val="auto"/>
          <w:kern w:val="2"/>
          <w:sz w:val="32"/>
          <w:szCs w:val="32"/>
          <w:highlight w:val="none"/>
          <w:lang w:val="en-US" w:eastAsia="zh-CN" w:bidi="ar-SA"/>
        </w:rPr>
        <w:t>万元、政府采购服务支出</w:t>
      </w:r>
      <w:r>
        <w:rPr>
          <w:rFonts w:hint="eastAsia" w:ascii="仿宋_GB2312" w:hAnsi="仿宋_GB2312" w:eastAsia="仿宋_GB2312" w:cs="仿宋_GB2312"/>
          <w:sz w:val="32"/>
          <w:szCs w:val="32"/>
        </w:rPr>
        <w:t>0</w:t>
      </w:r>
      <w:r>
        <w:rPr>
          <w:rFonts w:hint="eastAsia" w:ascii="仿宋_GB2312" w:hAnsi="仿宋_GB2312" w:eastAsia="仿宋_GB2312" w:cs="仿宋_GB2312"/>
          <w:color w:val="auto"/>
          <w:kern w:val="2"/>
          <w:sz w:val="32"/>
          <w:szCs w:val="32"/>
          <w:highlight w:val="none"/>
          <w:lang w:val="en-US" w:eastAsia="zh-CN" w:bidi="ar-SA"/>
        </w:rPr>
        <w:t>万元。主要用于农民体育健身器材、体育设施设备、铁道兵博物馆相关物资采购、应急广播系统升级改造备份电源等。授予中小企业合同金额</w:t>
      </w:r>
      <w:r>
        <w:rPr>
          <w:rFonts w:hint="eastAsia" w:ascii="仿宋_GB2312" w:hAnsi="仿宋_GB2312" w:eastAsia="仿宋_GB2312" w:cs="仿宋_GB2312"/>
          <w:sz w:val="32"/>
          <w:szCs w:val="32"/>
        </w:rPr>
        <w:t>0</w:t>
      </w:r>
      <w:r>
        <w:rPr>
          <w:rFonts w:hint="eastAsia" w:ascii="仿宋_GB2312" w:hAnsi="仿宋_GB2312" w:eastAsia="仿宋_GB2312" w:cs="仿宋_GB2312"/>
          <w:color w:val="auto"/>
          <w:kern w:val="2"/>
          <w:sz w:val="32"/>
          <w:szCs w:val="32"/>
          <w:highlight w:val="none"/>
          <w:lang w:val="en-US" w:eastAsia="zh-CN" w:bidi="ar-SA"/>
        </w:rPr>
        <w:t>万元，占政府采购支出总额的</w:t>
      </w:r>
      <w:r>
        <w:rPr>
          <w:rFonts w:hint="eastAsia" w:ascii="仿宋_GB2312" w:hAnsi="仿宋_GB2312" w:eastAsia="仿宋_GB2312" w:cs="仿宋_GB2312"/>
          <w:sz w:val="32"/>
          <w:szCs w:val="32"/>
        </w:rPr>
        <w:t>0</w:t>
      </w:r>
      <w:r>
        <w:rPr>
          <w:rFonts w:hint="eastAsia" w:ascii="仿宋_GB2312" w:hAnsi="仿宋_GB2312" w:eastAsia="仿宋_GB2312" w:cs="仿宋_GB2312"/>
          <w:color w:val="auto"/>
          <w:kern w:val="2"/>
          <w:sz w:val="32"/>
          <w:szCs w:val="32"/>
          <w:highlight w:val="none"/>
          <w:lang w:val="en-US" w:eastAsia="zh-CN" w:bidi="ar-SA"/>
        </w:rPr>
        <w:t>%，其中：授予小微企业合同金额</w:t>
      </w:r>
      <w:r>
        <w:rPr>
          <w:rFonts w:hint="eastAsia" w:ascii="仿宋_GB2312" w:hAnsi="仿宋_GB2312" w:eastAsia="仿宋_GB2312" w:cs="仿宋_GB2312"/>
          <w:sz w:val="32"/>
          <w:szCs w:val="32"/>
        </w:rPr>
        <w:t>0</w:t>
      </w:r>
      <w:r>
        <w:rPr>
          <w:rFonts w:hint="eastAsia" w:ascii="仿宋_GB2312" w:hAnsi="仿宋_GB2312" w:eastAsia="仿宋_GB2312" w:cs="仿宋_GB2312"/>
          <w:color w:val="auto"/>
          <w:kern w:val="2"/>
          <w:sz w:val="32"/>
          <w:szCs w:val="32"/>
          <w:highlight w:val="none"/>
          <w:lang w:val="en-US" w:eastAsia="zh-CN" w:bidi="ar-SA"/>
        </w:rPr>
        <w:t>万元，占政府采购支出总额的</w:t>
      </w:r>
      <w:r>
        <w:rPr>
          <w:rFonts w:hint="eastAsia" w:ascii="仿宋_GB2312" w:hAnsi="仿宋_GB2312" w:eastAsia="仿宋_GB2312" w:cs="仿宋_GB2312"/>
          <w:sz w:val="32"/>
          <w:szCs w:val="32"/>
        </w:rPr>
        <w:t>0</w:t>
      </w:r>
      <w:r>
        <w:rPr>
          <w:rFonts w:hint="eastAsia" w:ascii="仿宋_GB2312" w:hAnsi="仿宋_GB2312" w:eastAsia="仿宋_GB2312" w:cs="仿宋_GB2312"/>
          <w:color w:val="auto"/>
          <w:kern w:val="2"/>
          <w:sz w:val="32"/>
          <w:szCs w:val="32"/>
          <w:highlight w:val="none"/>
          <w:lang w:val="en-US" w:eastAsia="zh-CN" w:bidi="ar-SA"/>
        </w:rPr>
        <w:t>%。</w:t>
      </w:r>
    </w:p>
    <w:p w14:paraId="44D98330">
      <w:pPr>
        <w:keepNext w:val="0"/>
        <w:keepLines w:val="0"/>
        <w:pageBreakBefore w:val="0"/>
        <w:widowControl w:val="0"/>
        <w:kinsoku/>
        <w:wordWrap/>
        <w:overflowPunct/>
        <w:topLinePunct w:val="0"/>
        <w:autoSpaceDE/>
        <w:autoSpaceDN/>
        <w:bidi w:val="0"/>
        <w:adjustRightInd/>
        <w:snapToGrid/>
        <w:spacing w:line="560" w:lineRule="exact"/>
        <w:ind w:left="0" w:firstLine="643" w:firstLineChars="200"/>
        <w:jc w:val="both"/>
        <w:textAlignment w:val="auto"/>
        <w:outlineLvl w:val="2"/>
        <w:rPr>
          <w:rFonts w:hint="eastAsia" w:ascii="Times New Roman" w:hAnsi="Times New Roman" w:eastAsia="楷体_GB2312" w:cs="楷体_GB2312"/>
          <w:b/>
          <w:color w:val="auto"/>
          <w:sz w:val="32"/>
          <w:szCs w:val="32"/>
          <w:highlight w:val="none"/>
        </w:rPr>
      </w:pPr>
      <w:bookmarkStart w:id="59" w:name="_Toc15377224"/>
      <w:r>
        <w:rPr>
          <w:rFonts w:hint="eastAsia" w:ascii="Times New Roman" w:hAnsi="Times New Roman" w:eastAsia="楷体_GB2312" w:cs="楷体_GB2312"/>
          <w:b/>
          <w:color w:val="auto"/>
          <w:sz w:val="32"/>
          <w:szCs w:val="32"/>
          <w:highlight w:val="none"/>
        </w:rPr>
        <w:t>（三）国有资产占有使用情况</w:t>
      </w:r>
      <w:bookmarkEnd w:id="59"/>
    </w:p>
    <w:p w14:paraId="134B3F24">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jc w:val="both"/>
        <w:textAlignment w:val="auto"/>
        <w:rPr>
          <w:rFonts w:hint="eastAsia" w:ascii="仿宋_GB2312" w:hAnsi="仿宋_GB2312" w:eastAsia="仿宋_GB2312" w:cs="仿宋_GB2312"/>
          <w:color w:val="auto"/>
          <w:kern w:val="2"/>
          <w:sz w:val="32"/>
          <w:szCs w:val="32"/>
          <w:highlight w:val="none"/>
          <w:lang w:val="en-US" w:eastAsia="zh-CN" w:bidi="ar-SA"/>
        </w:rPr>
      </w:pPr>
      <w:r>
        <w:rPr>
          <w:rFonts w:hint="eastAsia" w:ascii="仿宋_GB2312" w:hAnsi="仿宋_GB2312" w:eastAsia="仿宋_GB2312" w:cs="仿宋_GB2312"/>
          <w:color w:val="auto"/>
          <w:kern w:val="2"/>
          <w:sz w:val="32"/>
          <w:szCs w:val="32"/>
          <w:highlight w:val="none"/>
          <w:lang w:val="en-US" w:eastAsia="zh-CN" w:bidi="ar-SA"/>
        </w:rPr>
        <w:t>截至2024年12月31日，</w:t>
      </w:r>
      <w:r>
        <w:rPr>
          <w:rFonts w:hint="eastAsia" w:ascii="仿宋_GB2312" w:hAnsi="仿宋_GB2312" w:eastAsia="仿宋_GB2312" w:cs="仿宋_GB2312"/>
          <w:sz w:val="32"/>
          <w:szCs w:val="32"/>
        </w:rPr>
        <w:t>乐山市金口河区文化广播电视体育和旅游局</w:t>
      </w:r>
      <w:r>
        <w:rPr>
          <w:rFonts w:hint="eastAsia" w:ascii="仿宋_GB2312" w:hAnsi="仿宋_GB2312" w:eastAsia="仿宋_GB2312" w:cs="仿宋_GB2312"/>
          <w:color w:val="auto"/>
          <w:kern w:val="2"/>
          <w:sz w:val="32"/>
          <w:szCs w:val="32"/>
          <w:highlight w:val="none"/>
          <w:lang w:val="en-US" w:eastAsia="zh-CN" w:bidi="ar-SA"/>
        </w:rPr>
        <w:t>共有车辆</w:t>
      </w:r>
      <w:r>
        <w:rPr>
          <w:rFonts w:hint="eastAsia" w:ascii="仿宋_GB2312" w:hAnsi="仿宋_GB2312" w:eastAsia="仿宋_GB2312" w:cs="仿宋_GB2312"/>
          <w:sz w:val="32"/>
          <w:szCs w:val="32"/>
        </w:rPr>
        <w:t>1</w:t>
      </w:r>
      <w:r>
        <w:rPr>
          <w:rFonts w:hint="eastAsia" w:ascii="仿宋_GB2312" w:hAnsi="仿宋_GB2312" w:eastAsia="仿宋_GB2312" w:cs="仿宋_GB2312"/>
          <w:color w:val="auto"/>
          <w:kern w:val="2"/>
          <w:sz w:val="32"/>
          <w:szCs w:val="32"/>
          <w:highlight w:val="none"/>
          <w:lang w:val="en-US" w:eastAsia="zh-CN" w:bidi="ar-SA"/>
        </w:rPr>
        <w:t>辆，其中：主要负责人用车</w:t>
      </w:r>
      <w:r>
        <w:rPr>
          <w:rFonts w:hint="eastAsia" w:ascii="仿宋_GB2312" w:hAnsi="仿宋_GB2312" w:eastAsia="仿宋_GB2312" w:cs="仿宋_GB2312"/>
          <w:sz w:val="32"/>
          <w:szCs w:val="32"/>
        </w:rPr>
        <w:t>0</w:t>
      </w:r>
      <w:r>
        <w:rPr>
          <w:rFonts w:hint="eastAsia" w:ascii="仿宋_GB2312" w:hAnsi="仿宋_GB2312" w:eastAsia="仿宋_GB2312" w:cs="仿宋_GB2312"/>
          <w:color w:val="auto"/>
          <w:kern w:val="2"/>
          <w:sz w:val="32"/>
          <w:szCs w:val="32"/>
          <w:highlight w:val="none"/>
          <w:lang w:val="en-US" w:eastAsia="zh-CN" w:bidi="ar-SA"/>
        </w:rPr>
        <w:t>辆、机要通信用车</w:t>
      </w:r>
      <w:r>
        <w:rPr>
          <w:rFonts w:hint="eastAsia" w:ascii="仿宋_GB2312" w:hAnsi="仿宋_GB2312" w:eastAsia="仿宋_GB2312" w:cs="仿宋_GB2312"/>
          <w:sz w:val="32"/>
          <w:szCs w:val="32"/>
        </w:rPr>
        <w:t>0</w:t>
      </w:r>
      <w:r>
        <w:rPr>
          <w:rFonts w:hint="eastAsia" w:ascii="仿宋_GB2312" w:hAnsi="仿宋_GB2312" w:eastAsia="仿宋_GB2312" w:cs="仿宋_GB2312"/>
          <w:color w:val="auto"/>
          <w:kern w:val="2"/>
          <w:sz w:val="32"/>
          <w:szCs w:val="32"/>
          <w:highlight w:val="none"/>
          <w:lang w:val="en-US" w:eastAsia="zh-CN" w:bidi="ar-SA"/>
        </w:rPr>
        <w:t>辆、应急保障用车</w:t>
      </w:r>
      <w:r>
        <w:rPr>
          <w:rFonts w:hint="eastAsia" w:ascii="仿宋_GB2312" w:hAnsi="仿宋_GB2312" w:eastAsia="仿宋_GB2312" w:cs="仿宋_GB2312"/>
          <w:sz w:val="32"/>
          <w:szCs w:val="32"/>
        </w:rPr>
        <w:t>1</w:t>
      </w:r>
      <w:r>
        <w:rPr>
          <w:rFonts w:hint="eastAsia" w:ascii="仿宋_GB2312" w:hAnsi="仿宋_GB2312" w:eastAsia="仿宋_GB2312" w:cs="仿宋_GB2312"/>
          <w:color w:val="auto"/>
          <w:kern w:val="2"/>
          <w:sz w:val="32"/>
          <w:szCs w:val="32"/>
          <w:highlight w:val="none"/>
          <w:lang w:val="en-US" w:eastAsia="zh-CN" w:bidi="ar-SA"/>
        </w:rPr>
        <w:t>辆、其他用车</w:t>
      </w:r>
      <w:r>
        <w:rPr>
          <w:rFonts w:hint="eastAsia" w:ascii="仿宋_GB2312" w:hAnsi="仿宋_GB2312" w:eastAsia="仿宋_GB2312" w:cs="仿宋_GB2312"/>
          <w:sz w:val="32"/>
          <w:szCs w:val="32"/>
        </w:rPr>
        <w:t>0</w:t>
      </w:r>
      <w:r>
        <w:rPr>
          <w:rFonts w:hint="eastAsia" w:ascii="仿宋_GB2312" w:hAnsi="仿宋_GB2312" w:eastAsia="仿宋_GB2312" w:cs="仿宋_GB2312"/>
          <w:color w:val="auto"/>
          <w:kern w:val="2"/>
          <w:sz w:val="32"/>
          <w:szCs w:val="32"/>
          <w:highlight w:val="none"/>
          <w:lang w:val="en-US" w:eastAsia="zh-CN" w:bidi="ar-SA"/>
        </w:rPr>
        <w:t>辆。单价100万元（含）以上设备（不含车辆）</w:t>
      </w:r>
      <w:r>
        <w:rPr>
          <w:rFonts w:hint="eastAsia" w:ascii="仿宋_GB2312" w:hAnsi="仿宋_GB2312" w:eastAsia="仿宋_GB2312" w:cs="仿宋_GB2312"/>
          <w:sz w:val="32"/>
          <w:szCs w:val="32"/>
        </w:rPr>
        <w:t>0</w:t>
      </w:r>
      <w:r>
        <w:rPr>
          <w:rFonts w:hint="eastAsia" w:ascii="仿宋_GB2312" w:hAnsi="仿宋_GB2312" w:eastAsia="仿宋_GB2312" w:cs="仿宋_GB2312"/>
          <w:color w:val="auto"/>
          <w:kern w:val="2"/>
          <w:sz w:val="32"/>
          <w:szCs w:val="32"/>
          <w:highlight w:val="none"/>
          <w:lang w:val="en-US" w:eastAsia="zh-CN" w:bidi="ar-SA"/>
        </w:rPr>
        <w:t>台（套）。</w:t>
      </w:r>
    </w:p>
    <w:p w14:paraId="6B86BA1A">
      <w:pPr>
        <w:keepNext w:val="0"/>
        <w:keepLines w:val="0"/>
        <w:pageBreakBefore w:val="0"/>
        <w:widowControl w:val="0"/>
        <w:kinsoku/>
        <w:wordWrap/>
        <w:overflowPunct/>
        <w:topLinePunct w:val="0"/>
        <w:autoSpaceDE/>
        <w:autoSpaceDN/>
        <w:bidi w:val="0"/>
        <w:adjustRightInd/>
        <w:snapToGrid/>
        <w:spacing w:line="560" w:lineRule="exact"/>
        <w:ind w:left="0" w:firstLine="643" w:firstLineChars="200"/>
        <w:jc w:val="both"/>
        <w:textAlignment w:val="auto"/>
        <w:outlineLvl w:val="2"/>
        <w:rPr>
          <w:rFonts w:hint="eastAsia" w:ascii="Times New Roman" w:hAnsi="Times New Roman" w:eastAsia="楷体_GB2312" w:cs="楷体_GB2312"/>
          <w:b/>
          <w:color w:val="auto"/>
          <w:sz w:val="32"/>
          <w:szCs w:val="32"/>
          <w:highlight w:val="none"/>
        </w:rPr>
      </w:pPr>
      <w:r>
        <w:rPr>
          <w:rFonts w:hint="eastAsia" w:ascii="Times New Roman" w:hAnsi="Times New Roman" w:eastAsia="楷体_GB2312" w:cs="楷体_GB2312"/>
          <w:b/>
          <w:color w:val="auto"/>
          <w:sz w:val="32"/>
          <w:szCs w:val="32"/>
          <w:highlight w:val="none"/>
        </w:rPr>
        <w:t>（四）预算绩效管理情况</w:t>
      </w:r>
    </w:p>
    <w:p w14:paraId="731B4812">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jc w:val="both"/>
        <w:textAlignment w:val="auto"/>
        <w:rPr>
          <w:rFonts w:hint="eastAsia" w:ascii="仿宋_GB2312" w:hAnsi="仿宋_GB2312" w:eastAsia="仿宋_GB2312" w:cs="仿宋_GB2312"/>
          <w:color w:val="auto"/>
          <w:kern w:val="2"/>
          <w:sz w:val="32"/>
          <w:szCs w:val="32"/>
          <w:highlight w:val="none"/>
          <w:lang w:val="en-US" w:eastAsia="zh-CN" w:bidi="ar-SA"/>
        </w:rPr>
      </w:pPr>
      <w:r>
        <w:rPr>
          <w:rFonts w:hint="eastAsia" w:ascii="仿宋_GB2312" w:hAnsi="仿宋_GB2312" w:eastAsia="仿宋_GB2312" w:cs="仿宋_GB2312"/>
          <w:color w:val="auto"/>
          <w:kern w:val="2"/>
          <w:sz w:val="32"/>
          <w:szCs w:val="32"/>
          <w:highlight w:val="none"/>
          <w:lang w:val="en-US" w:eastAsia="zh-CN" w:bidi="ar-SA"/>
        </w:rPr>
        <w:t>根据预算绩效管理要求，本部门在2024年度预算编制阶段，组织对地面数字全覆盖运行维护费等11个项目开展了预算事前绩效评估，对11个项目编制了绩效目标，预算执行过程中，选取11个项目开展绩效监控。</w:t>
      </w:r>
    </w:p>
    <w:p w14:paraId="2C786F16">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jc w:val="both"/>
        <w:textAlignment w:val="auto"/>
        <w:rPr>
          <w:rFonts w:hint="eastAsia" w:ascii="仿宋_GB2312" w:hAnsi="仿宋_GB2312" w:eastAsia="仿宋_GB2312" w:cs="仿宋_GB2312"/>
          <w:color w:val="auto"/>
          <w:kern w:val="2"/>
          <w:sz w:val="32"/>
          <w:szCs w:val="32"/>
          <w:highlight w:val="none"/>
          <w:lang w:val="en-US" w:eastAsia="zh-CN" w:bidi="ar-SA"/>
        </w:rPr>
      </w:pPr>
      <w:r>
        <w:rPr>
          <w:rFonts w:hint="eastAsia" w:ascii="仿宋_GB2312" w:hAnsi="仿宋_GB2312" w:eastAsia="仿宋_GB2312" w:cs="仿宋_GB2312"/>
          <w:color w:val="auto"/>
          <w:kern w:val="2"/>
          <w:sz w:val="32"/>
          <w:szCs w:val="32"/>
          <w:highlight w:val="none"/>
          <w:lang w:val="en-US" w:eastAsia="zh-CN" w:bidi="ar-SA"/>
        </w:rPr>
        <w:t>组织对2024年度一般公共预算、政府性基金预算、国有资本经营预算、社会保险基金预算以及资本资产、债券资金等全面开展绩效自评，形成</w:t>
      </w:r>
      <w:r>
        <w:rPr>
          <w:rFonts w:hint="eastAsia" w:ascii="仿宋_GB2312" w:hAnsi="仿宋_GB2312" w:eastAsia="仿宋_GB2312" w:cs="仿宋_GB2312"/>
          <w:sz w:val="32"/>
          <w:szCs w:val="32"/>
        </w:rPr>
        <w:t>乐山市金口河区文化广播电视</w:t>
      </w:r>
      <w:r>
        <w:rPr>
          <w:rFonts w:hint="eastAsia" w:ascii="仿宋_GB2312" w:hAnsi="仿宋_GB2312" w:eastAsia="仿宋_GB2312" w:cs="仿宋_GB2312"/>
          <w:color w:val="auto"/>
          <w:kern w:val="2"/>
          <w:sz w:val="32"/>
          <w:szCs w:val="32"/>
          <w:highlight w:val="none"/>
          <w:lang w:val="en-US" w:eastAsia="zh-CN" w:bidi="ar-SA"/>
        </w:rPr>
        <w:t>体育和旅游局整体（含部门预算项目）绩效自评报告。绩效自评报告详见附件。</w:t>
      </w:r>
    </w:p>
    <w:p w14:paraId="28D18B78">
      <w:pPr>
        <w:spacing w:line="600" w:lineRule="exact"/>
        <w:ind w:firstLine="640"/>
        <w:rPr>
          <w:rFonts w:hint="eastAsia" w:ascii="Times New Roman" w:hAnsi="Times New Roman" w:eastAsia="仿宋_GB2312" w:cs="仿宋_GB2312"/>
          <w:color w:val="auto"/>
          <w:kern w:val="2"/>
          <w:sz w:val="32"/>
          <w:szCs w:val="32"/>
          <w:highlight w:val="none"/>
          <w:lang w:val="en-US" w:eastAsia="zh-CN" w:bidi="ar-SA"/>
        </w:rPr>
      </w:pPr>
    </w:p>
    <w:p w14:paraId="02554553">
      <w:pPr>
        <w:pStyle w:val="5"/>
        <w:rPr>
          <w:rFonts w:hint="eastAsia" w:ascii="Times New Roman" w:hAnsi="Times New Roman" w:eastAsia="仿宋_GB2312" w:cs="仿宋_GB2312"/>
          <w:color w:val="auto"/>
          <w:kern w:val="2"/>
          <w:sz w:val="32"/>
          <w:szCs w:val="32"/>
          <w:highlight w:val="none"/>
          <w:lang w:val="en-US" w:eastAsia="zh-CN" w:bidi="ar-SA"/>
        </w:rPr>
      </w:pPr>
    </w:p>
    <w:p w14:paraId="07C1B185">
      <w:pPr>
        <w:pStyle w:val="5"/>
        <w:rPr>
          <w:rFonts w:hint="eastAsia" w:ascii="Times New Roman" w:hAnsi="Times New Roman" w:eastAsia="仿宋_GB2312" w:cs="仿宋_GB2312"/>
          <w:color w:val="auto"/>
          <w:kern w:val="2"/>
          <w:sz w:val="32"/>
          <w:szCs w:val="32"/>
          <w:highlight w:val="none"/>
          <w:lang w:val="en-US" w:eastAsia="zh-CN" w:bidi="ar-SA"/>
        </w:rPr>
      </w:pPr>
    </w:p>
    <w:p w14:paraId="6FE60D76">
      <w:pPr>
        <w:pStyle w:val="5"/>
        <w:rPr>
          <w:rFonts w:hint="eastAsia" w:ascii="Times New Roman" w:hAnsi="Times New Roman" w:eastAsia="仿宋_GB2312" w:cs="仿宋_GB2312"/>
          <w:color w:val="auto"/>
          <w:kern w:val="2"/>
          <w:sz w:val="32"/>
          <w:szCs w:val="32"/>
          <w:highlight w:val="none"/>
          <w:lang w:val="en-US" w:eastAsia="zh-CN" w:bidi="ar-SA"/>
        </w:rPr>
      </w:pPr>
    </w:p>
    <w:p w14:paraId="2A18A775">
      <w:pPr>
        <w:pStyle w:val="5"/>
        <w:rPr>
          <w:rFonts w:hint="eastAsia" w:ascii="Times New Roman" w:hAnsi="Times New Roman" w:eastAsia="仿宋_GB2312" w:cs="仿宋_GB2312"/>
          <w:color w:val="auto"/>
          <w:kern w:val="2"/>
          <w:sz w:val="32"/>
          <w:szCs w:val="32"/>
          <w:highlight w:val="none"/>
          <w:lang w:val="en-US" w:eastAsia="zh-CN" w:bidi="ar-SA"/>
        </w:rPr>
      </w:pPr>
    </w:p>
    <w:p w14:paraId="6ED7500B">
      <w:pPr>
        <w:pStyle w:val="5"/>
        <w:rPr>
          <w:rFonts w:hint="eastAsia" w:ascii="Times New Roman" w:hAnsi="Times New Roman" w:eastAsia="仿宋_GB2312" w:cs="仿宋_GB2312"/>
          <w:color w:val="auto"/>
          <w:kern w:val="2"/>
          <w:sz w:val="32"/>
          <w:szCs w:val="32"/>
          <w:highlight w:val="none"/>
          <w:lang w:val="en-US" w:eastAsia="zh-CN" w:bidi="ar-SA"/>
        </w:rPr>
      </w:pPr>
    </w:p>
    <w:p w14:paraId="43F2D818">
      <w:pPr>
        <w:pStyle w:val="5"/>
        <w:rPr>
          <w:rFonts w:hint="eastAsia" w:ascii="Times New Roman" w:hAnsi="Times New Roman" w:eastAsia="仿宋_GB2312" w:cs="仿宋_GB2312"/>
          <w:color w:val="auto"/>
          <w:kern w:val="2"/>
          <w:sz w:val="32"/>
          <w:szCs w:val="32"/>
          <w:highlight w:val="none"/>
          <w:lang w:val="en-US" w:eastAsia="zh-CN" w:bidi="ar-SA"/>
        </w:rPr>
      </w:pPr>
    </w:p>
    <w:p w14:paraId="085811EA">
      <w:pPr>
        <w:spacing w:line="600" w:lineRule="exact"/>
        <w:rPr>
          <w:rFonts w:hint="eastAsia" w:ascii="Times New Roman" w:hAnsi="Times New Roman" w:eastAsia="仿宋_GB2312" w:cs="仿宋_GB2312"/>
          <w:color w:val="auto"/>
          <w:kern w:val="2"/>
          <w:sz w:val="32"/>
          <w:szCs w:val="32"/>
          <w:highlight w:val="none"/>
          <w:lang w:val="en-US" w:eastAsia="zh-CN" w:bidi="ar-SA"/>
        </w:rPr>
      </w:pPr>
    </w:p>
    <w:p w14:paraId="1F71B336">
      <w:pPr>
        <w:pStyle w:val="2"/>
        <w:keepNext/>
        <w:keepLines/>
        <w:pageBreakBefore w:val="0"/>
        <w:widowControl w:val="0"/>
        <w:kinsoku/>
        <w:wordWrap/>
        <w:overflowPunct/>
        <w:topLinePunct w:val="0"/>
        <w:autoSpaceDE/>
        <w:autoSpaceDN/>
        <w:bidi w:val="0"/>
        <w:adjustRightInd/>
        <w:snapToGrid/>
        <w:spacing w:before="0" w:after="0" w:line="560" w:lineRule="exact"/>
        <w:jc w:val="both"/>
        <w:textAlignment w:val="auto"/>
        <w:rPr>
          <w:rFonts w:hint="eastAsia" w:ascii="黑体" w:hAnsi="黑体" w:eastAsia="黑体" w:cs="黑体"/>
          <w:b w:val="0"/>
          <w:bCs w:val="0"/>
        </w:rPr>
      </w:pPr>
      <w:bookmarkStart w:id="60" w:name="_Toc15377225"/>
      <w:bookmarkStart w:id="61" w:name="_Toc15396613"/>
      <w:bookmarkStart w:id="62" w:name="_Toc29441"/>
    </w:p>
    <w:p w14:paraId="7AA00C04">
      <w:pPr>
        <w:bidi w:val="0"/>
        <w:rPr>
          <w:rFonts w:hint="eastAsia"/>
        </w:rPr>
      </w:pPr>
    </w:p>
    <w:p w14:paraId="56E33DBD">
      <w:pPr>
        <w:bidi w:val="0"/>
        <w:rPr>
          <w:rFonts w:hint="eastAsia"/>
        </w:rPr>
      </w:pPr>
    </w:p>
    <w:p w14:paraId="49861CA7">
      <w:pPr>
        <w:bidi w:val="0"/>
        <w:rPr>
          <w:rFonts w:hint="eastAsia"/>
        </w:rPr>
      </w:pPr>
    </w:p>
    <w:p w14:paraId="050F4DF8">
      <w:pPr>
        <w:bidi w:val="0"/>
        <w:rPr>
          <w:rFonts w:hint="eastAsia"/>
        </w:rPr>
      </w:pPr>
    </w:p>
    <w:p w14:paraId="257DE9A4">
      <w:pPr>
        <w:bidi w:val="0"/>
        <w:rPr>
          <w:rFonts w:hint="eastAsia"/>
        </w:rPr>
      </w:pPr>
    </w:p>
    <w:p w14:paraId="1FEBD96E">
      <w:pPr>
        <w:pStyle w:val="2"/>
        <w:bidi w:val="0"/>
        <w:jc w:val="center"/>
        <w:rPr>
          <w:rFonts w:hint="eastAsia" w:ascii="黑体" w:hAnsi="黑体" w:eastAsia="黑体" w:cs="黑体"/>
          <w:b w:val="0"/>
          <w:bCs w:val="0"/>
        </w:rPr>
      </w:pPr>
    </w:p>
    <w:p w14:paraId="56ED3470">
      <w:pPr>
        <w:rPr>
          <w:rFonts w:hint="eastAsia"/>
        </w:rPr>
      </w:pPr>
    </w:p>
    <w:p w14:paraId="75AE623B">
      <w:pPr>
        <w:pStyle w:val="2"/>
        <w:bidi w:val="0"/>
        <w:jc w:val="center"/>
        <w:rPr>
          <w:rFonts w:hint="eastAsia" w:ascii="黑体" w:hAnsi="黑体" w:eastAsia="黑体" w:cs="黑体"/>
          <w:b w:val="0"/>
          <w:bCs w:val="0"/>
        </w:rPr>
      </w:pPr>
      <w:r>
        <w:rPr>
          <w:rFonts w:hint="eastAsia" w:ascii="黑体" w:hAnsi="黑体" w:eastAsia="黑体" w:cs="黑体"/>
          <w:b w:val="0"/>
          <w:bCs w:val="0"/>
        </w:rPr>
        <w:t>第</w:t>
      </w:r>
      <w:r>
        <w:rPr>
          <w:rFonts w:hint="eastAsia" w:ascii="黑体" w:hAnsi="黑体" w:eastAsia="黑体" w:cs="黑体"/>
          <w:b w:val="0"/>
          <w:bCs w:val="0"/>
          <w:lang w:eastAsia="zh-CN"/>
        </w:rPr>
        <w:t>三</w:t>
      </w:r>
      <w:r>
        <w:rPr>
          <w:rFonts w:hint="eastAsia" w:ascii="黑体" w:hAnsi="黑体" w:eastAsia="黑体" w:cs="黑体"/>
          <w:b w:val="0"/>
          <w:bCs w:val="0"/>
        </w:rPr>
        <w:t>部分</w:t>
      </w:r>
      <w:r>
        <w:rPr>
          <w:rFonts w:hint="eastAsia" w:ascii="黑体" w:hAnsi="黑体" w:eastAsia="黑体" w:cs="黑体"/>
          <w:b w:val="0"/>
          <w:bCs w:val="0"/>
          <w:lang w:val="en-US" w:eastAsia="zh-CN"/>
        </w:rPr>
        <w:t xml:space="preserve">  </w:t>
      </w:r>
      <w:r>
        <w:rPr>
          <w:rFonts w:hint="eastAsia" w:ascii="黑体" w:hAnsi="黑体" w:eastAsia="黑体" w:cs="黑体"/>
          <w:b w:val="0"/>
          <w:bCs w:val="0"/>
        </w:rPr>
        <w:t>名词解释</w:t>
      </w:r>
      <w:bookmarkEnd w:id="60"/>
      <w:bookmarkEnd w:id="61"/>
      <w:bookmarkEnd w:id="62"/>
    </w:p>
    <w:p w14:paraId="1F9B4482">
      <w:pPr>
        <w:rPr>
          <w:rFonts w:hint="eastAsia"/>
          <w:lang w:val="en-US" w:eastAsia="zh-CN"/>
        </w:rPr>
      </w:pPr>
    </w:p>
    <w:p w14:paraId="66A4B527">
      <w:pPr>
        <w:pStyle w:val="27"/>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1.财政拨款收入：指单位从同级财政部门取得的财政预算资金。</w:t>
      </w:r>
    </w:p>
    <w:p w14:paraId="6EF1ECAC">
      <w:pPr>
        <w:pStyle w:val="27"/>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2.其他收入：指单位取得的除上述收入以外的各项收入。主要是沙湾区对口帮扶资金等。</w:t>
      </w:r>
    </w:p>
    <w:p w14:paraId="4EFBD463">
      <w:pPr>
        <w:pStyle w:val="27"/>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3</w:t>
      </w:r>
      <w:r>
        <w:rPr>
          <w:rFonts w:hint="eastAsia" w:ascii="仿宋_GB2312" w:hAnsi="仿宋_GB2312" w:eastAsia="仿宋_GB2312" w:cs="仿宋_GB2312"/>
          <w:color w:val="auto"/>
          <w:sz w:val="32"/>
          <w:szCs w:val="32"/>
        </w:rPr>
        <w:t>.文化旅游体育与传媒支出（类）文化和旅游（款）行政运行（项）：指行政单位（包括实行公务员管理的事业单位）的基本支出。</w:t>
      </w:r>
    </w:p>
    <w:p w14:paraId="41918984">
      <w:pPr>
        <w:pStyle w:val="27"/>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4</w:t>
      </w:r>
      <w:r>
        <w:rPr>
          <w:rFonts w:hint="eastAsia" w:ascii="仿宋_GB2312" w:hAnsi="仿宋_GB2312" w:eastAsia="仿宋_GB2312" w:cs="仿宋_GB2312"/>
          <w:color w:val="auto"/>
          <w:sz w:val="32"/>
          <w:szCs w:val="32"/>
        </w:rPr>
        <w:t>.文化旅游体育与传媒支出（类）文化和旅游（款）图书馆（项）：指图书馆支出。</w:t>
      </w:r>
    </w:p>
    <w:p w14:paraId="758790AF">
      <w:pPr>
        <w:pStyle w:val="27"/>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5</w:t>
      </w:r>
      <w:r>
        <w:rPr>
          <w:rFonts w:hint="eastAsia" w:ascii="仿宋_GB2312" w:hAnsi="仿宋_GB2312" w:eastAsia="仿宋_GB2312" w:cs="仿宋_GB2312"/>
          <w:color w:val="auto"/>
          <w:sz w:val="32"/>
          <w:szCs w:val="32"/>
        </w:rPr>
        <w:t>.文化旅游体育与传媒支出（类）文化和旅游（款）其他文化和旅游支出（项）：指除上述项目以外其他用于文化和旅游方面的支出。</w:t>
      </w:r>
    </w:p>
    <w:p w14:paraId="2BD27F1E">
      <w:pPr>
        <w:pStyle w:val="27"/>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val="en-US" w:eastAsia="zh-CN"/>
        </w:rPr>
        <w:t>6.</w:t>
      </w:r>
      <w:r>
        <w:rPr>
          <w:rFonts w:hint="eastAsia" w:ascii="仿宋_GB2312" w:hAnsi="仿宋_GB2312" w:eastAsia="仿宋_GB2312" w:cs="仿宋_GB2312"/>
          <w:color w:val="auto"/>
          <w:sz w:val="32"/>
          <w:szCs w:val="32"/>
        </w:rPr>
        <w:t>文化旅游体育与传媒支出（类）文物（款）博物馆（项）：</w:t>
      </w:r>
      <w:r>
        <w:rPr>
          <w:rFonts w:hint="eastAsia" w:ascii="仿宋_GB2312" w:hAnsi="仿宋_GB2312" w:eastAsia="仿宋_GB2312" w:cs="仿宋_GB2312"/>
          <w:color w:val="auto"/>
          <w:sz w:val="32"/>
          <w:szCs w:val="32"/>
          <w:lang w:eastAsia="zh-CN"/>
        </w:rPr>
        <w:t>指文物系统及其他部门所属博物馆、纪念馆（室）的支出。</w:t>
      </w:r>
    </w:p>
    <w:p w14:paraId="638328E7">
      <w:pPr>
        <w:pStyle w:val="27"/>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7</w:t>
      </w:r>
      <w:r>
        <w:rPr>
          <w:rFonts w:hint="eastAsia" w:ascii="仿宋_GB2312" w:hAnsi="仿宋_GB2312" w:eastAsia="仿宋_GB2312" w:cs="仿宋_GB2312"/>
          <w:color w:val="auto"/>
          <w:sz w:val="32"/>
          <w:szCs w:val="32"/>
        </w:rPr>
        <w:t>.文化旅游体育与传媒支出（类）体育（款）体育场馆（项）：指体育场馆建设及维护等方面的支出。</w:t>
      </w:r>
    </w:p>
    <w:p w14:paraId="741C207D">
      <w:pPr>
        <w:pStyle w:val="27"/>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8</w:t>
      </w:r>
      <w:r>
        <w:rPr>
          <w:rFonts w:hint="eastAsia" w:ascii="仿宋_GB2312" w:hAnsi="仿宋_GB2312" w:eastAsia="仿宋_GB2312" w:cs="仿宋_GB2312"/>
          <w:color w:val="auto"/>
          <w:sz w:val="32"/>
          <w:szCs w:val="32"/>
        </w:rPr>
        <w:t>.文化旅游体育与传媒支出（类）体育（款）其他体育支出（项）：指</w:t>
      </w:r>
      <w:r>
        <w:rPr>
          <w:rFonts w:hint="eastAsia" w:ascii="仿宋_GB2312" w:hAnsi="仿宋_GB2312" w:eastAsia="仿宋_GB2312" w:cs="仿宋_GB2312"/>
          <w:color w:val="auto"/>
          <w:sz w:val="32"/>
          <w:szCs w:val="32"/>
          <w:lang w:eastAsia="zh-CN"/>
        </w:rPr>
        <w:t>除上述项目以外其他用于体育方面的支出</w:t>
      </w:r>
      <w:r>
        <w:rPr>
          <w:rFonts w:hint="eastAsia" w:ascii="仿宋_GB2312" w:hAnsi="仿宋_GB2312" w:eastAsia="仿宋_GB2312" w:cs="仿宋_GB2312"/>
          <w:color w:val="auto"/>
          <w:sz w:val="32"/>
          <w:szCs w:val="32"/>
        </w:rPr>
        <w:t>。</w:t>
      </w:r>
    </w:p>
    <w:p w14:paraId="10A6F6F4">
      <w:pPr>
        <w:pStyle w:val="27"/>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color w:val="auto"/>
          <w:sz w:val="32"/>
          <w:szCs w:val="32"/>
          <w:lang w:val="en-US" w:eastAsia="zh-CN"/>
        </w:rPr>
        <w:t>9</w:t>
      </w:r>
      <w:r>
        <w:rPr>
          <w:rFonts w:hint="eastAsia" w:ascii="仿宋_GB2312" w:hAnsi="仿宋_GB2312" w:eastAsia="仿宋_GB2312" w:cs="仿宋_GB2312"/>
          <w:color w:val="auto"/>
          <w:sz w:val="32"/>
          <w:szCs w:val="32"/>
        </w:rPr>
        <w:t>.文化旅游体育与传媒支出（类）广播电视（款）其他广播</w:t>
      </w:r>
      <w:r>
        <w:rPr>
          <w:rStyle w:val="18"/>
          <w:rFonts w:hint="eastAsia" w:ascii="仿宋_GB2312" w:hAnsi="仿宋_GB2312" w:eastAsia="仿宋_GB2312" w:cs="仿宋_GB2312"/>
          <w:b w:val="0"/>
          <w:bCs/>
          <w:sz w:val="32"/>
          <w:szCs w:val="32"/>
        </w:rPr>
        <w:t>电视支出（项）</w:t>
      </w:r>
      <w:r>
        <w:rPr>
          <w:rFonts w:hint="eastAsia" w:ascii="仿宋_GB2312" w:hAnsi="仿宋_GB2312" w:eastAsia="仿宋_GB2312" w:cs="仿宋_GB2312"/>
          <w:color w:val="auto"/>
          <w:sz w:val="32"/>
          <w:szCs w:val="32"/>
        </w:rPr>
        <w:t>：指除上述项目以外其他用于广播电视方面的支出。</w:t>
      </w:r>
    </w:p>
    <w:p w14:paraId="1993FE58">
      <w:pPr>
        <w:pStyle w:val="27"/>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10</w:t>
      </w:r>
      <w:r>
        <w:rPr>
          <w:rFonts w:hint="eastAsia" w:ascii="仿宋_GB2312" w:hAnsi="仿宋_GB2312" w:eastAsia="仿宋_GB2312" w:cs="仿宋_GB2312"/>
          <w:color w:val="auto"/>
          <w:sz w:val="32"/>
          <w:szCs w:val="32"/>
        </w:rPr>
        <w:t>.文化旅游体育与传媒支出（类）其他文化旅游体育与传媒支出（款）其他文化旅游体育与传媒支出（项）：指除上述项目以外其他用于文化旅游体育与传媒方面的支出。</w:t>
      </w:r>
    </w:p>
    <w:p w14:paraId="0C5CB6ED">
      <w:pPr>
        <w:pStyle w:val="27"/>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w:t>
      </w:r>
      <w:r>
        <w:rPr>
          <w:rFonts w:hint="eastAsia" w:ascii="仿宋_GB2312" w:hAnsi="仿宋_GB2312" w:eastAsia="仿宋_GB2312" w:cs="仿宋_GB2312"/>
          <w:color w:val="auto"/>
          <w:sz w:val="32"/>
          <w:szCs w:val="32"/>
          <w:lang w:val="en-US" w:eastAsia="zh-CN"/>
        </w:rPr>
        <w:t>1</w:t>
      </w:r>
      <w:r>
        <w:rPr>
          <w:rFonts w:hint="eastAsia" w:ascii="仿宋_GB2312" w:hAnsi="仿宋_GB2312" w:eastAsia="仿宋_GB2312" w:cs="仿宋_GB2312"/>
          <w:color w:val="auto"/>
          <w:sz w:val="32"/>
          <w:szCs w:val="32"/>
        </w:rPr>
        <w:t>.社会保障和就业支出（类）行政事业单位养老支出（款）机关事业单位基本养老保险缴费支出（项）：指机关事业单位实施养老保险制度由单位缴纳的基本养老保险费支出。</w:t>
      </w:r>
    </w:p>
    <w:p w14:paraId="6E3DD35F">
      <w:pPr>
        <w:pStyle w:val="27"/>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w:t>
      </w:r>
      <w:r>
        <w:rPr>
          <w:rFonts w:hint="eastAsia" w:ascii="仿宋_GB2312" w:hAnsi="仿宋_GB2312" w:eastAsia="仿宋_GB2312" w:cs="仿宋_GB2312"/>
          <w:color w:val="auto"/>
          <w:sz w:val="32"/>
          <w:szCs w:val="32"/>
          <w:lang w:val="en-US" w:eastAsia="zh-CN"/>
        </w:rPr>
        <w:t>2</w:t>
      </w:r>
      <w:r>
        <w:rPr>
          <w:rFonts w:hint="eastAsia" w:ascii="仿宋_GB2312" w:hAnsi="仿宋_GB2312" w:eastAsia="仿宋_GB2312" w:cs="仿宋_GB2312"/>
          <w:color w:val="auto"/>
          <w:sz w:val="32"/>
          <w:szCs w:val="32"/>
        </w:rPr>
        <w:t>.社会保障和就业支出（类）行政事业单位养老支出（款）机关事业单位职业年金缴费支出（项）：指机关事业单位实施养老保险制度由单位实际缴纳的职业年金支出。</w:t>
      </w:r>
    </w:p>
    <w:p w14:paraId="150BB00B">
      <w:pPr>
        <w:pStyle w:val="27"/>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w:t>
      </w:r>
      <w:r>
        <w:rPr>
          <w:rFonts w:hint="eastAsia" w:ascii="仿宋_GB2312" w:hAnsi="仿宋_GB2312" w:eastAsia="仿宋_GB2312" w:cs="仿宋_GB2312"/>
          <w:color w:val="auto"/>
          <w:sz w:val="32"/>
          <w:szCs w:val="32"/>
          <w:lang w:val="en-US" w:eastAsia="zh-CN"/>
        </w:rPr>
        <w:t>3</w:t>
      </w:r>
      <w:r>
        <w:rPr>
          <w:rFonts w:hint="eastAsia" w:ascii="仿宋_GB2312" w:hAnsi="仿宋_GB2312" w:eastAsia="仿宋_GB2312" w:cs="仿宋_GB2312"/>
          <w:color w:val="auto"/>
          <w:sz w:val="32"/>
          <w:szCs w:val="32"/>
        </w:rPr>
        <w:t>.社会保障和就业支出（类）行政事业单位养老支出（款）其他行政事业单位养老支出（项）：指除上述项目以外其他用于行政事业单位养老方面的支出。</w:t>
      </w:r>
    </w:p>
    <w:p w14:paraId="371B8531">
      <w:pPr>
        <w:pStyle w:val="27"/>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w:t>
      </w:r>
      <w:r>
        <w:rPr>
          <w:rFonts w:hint="eastAsia" w:ascii="仿宋_GB2312" w:hAnsi="仿宋_GB2312" w:eastAsia="仿宋_GB2312" w:cs="仿宋_GB2312"/>
          <w:color w:val="auto"/>
          <w:sz w:val="32"/>
          <w:szCs w:val="32"/>
          <w:lang w:val="en-US" w:eastAsia="zh-CN"/>
        </w:rPr>
        <w:t>4</w:t>
      </w:r>
      <w:r>
        <w:rPr>
          <w:rFonts w:hint="eastAsia" w:ascii="仿宋_GB2312" w:hAnsi="仿宋_GB2312" w:eastAsia="仿宋_GB2312" w:cs="仿宋_GB2312"/>
          <w:color w:val="auto"/>
          <w:sz w:val="32"/>
          <w:szCs w:val="32"/>
        </w:rPr>
        <w:t>.社会保障和就业支出（类）残疾人事业（款）残疾人就业（项）：指残疾人联合会用于残疾人就业方面的支出。</w:t>
      </w:r>
    </w:p>
    <w:p w14:paraId="407F275B">
      <w:pPr>
        <w:pStyle w:val="27"/>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w:t>
      </w:r>
      <w:r>
        <w:rPr>
          <w:rFonts w:hint="eastAsia" w:ascii="仿宋_GB2312" w:hAnsi="仿宋_GB2312" w:eastAsia="仿宋_GB2312" w:cs="仿宋_GB2312"/>
          <w:color w:val="auto"/>
          <w:sz w:val="32"/>
          <w:szCs w:val="32"/>
          <w:lang w:val="en-US" w:eastAsia="zh-CN"/>
        </w:rPr>
        <w:t>5</w:t>
      </w:r>
      <w:r>
        <w:rPr>
          <w:rFonts w:hint="eastAsia" w:ascii="仿宋_GB2312" w:hAnsi="仿宋_GB2312" w:eastAsia="仿宋_GB2312" w:cs="仿宋_GB2312"/>
          <w:color w:val="auto"/>
          <w:sz w:val="32"/>
          <w:szCs w:val="32"/>
        </w:rPr>
        <w:t>.社会保障和就业支出（类）其他社会保障和就业支出（款）其他社会保障和就业支出（项）：指除上述项目以外其他用于社会保障和就业方面的支出。</w:t>
      </w:r>
    </w:p>
    <w:p w14:paraId="73F79A5A">
      <w:pPr>
        <w:pStyle w:val="27"/>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rPr>
        <w:t>1</w:t>
      </w:r>
      <w:r>
        <w:rPr>
          <w:rFonts w:hint="eastAsia" w:ascii="仿宋_GB2312" w:hAnsi="仿宋_GB2312" w:eastAsia="仿宋_GB2312" w:cs="仿宋_GB2312"/>
          <w:color w:val="auto"/>
          <w:sz w:val="32"/>
          <w:szCs w:val="32"/>
          <w:lang w:val="en-US" w:eastAsia="zh-CN"/>
        </w:rPr>
        <w:t>6</w:t>
      </w:r>
      <w:r>
        <w:rPr>
          <w:rFonts w:hint="eastAsia" w:ascii="仿宋_GB2312" w:hAnsi="仿宋_GB2312" w:eastAsia="仿宋_GB2312" w:cs="仿宋_GB2312"/>
          <w:color w:val="auto"/>
          <w:sz w:val="32"/>
          <w:szCs w:val="32"/>
        </w:rPr>
        <w:t>.卫生健康支出（类）行政事业单位医疗（款）行政单位医疗（项）：指</w:t>
      </w:r>
      <w:r>
        <w:rPr>
          <w:rFonts w:hint="eastAsia" w:ascii="仿宋_GB2312" w:hAnsi="仿宋_GB2312" w:eastAsia="仿宋_GB2312" w:cs="仿宋_GB2312"/>
          <w:sz w:val="32"/>
          <w:szCs w:val="32"/>
        </w:rPr>
        <w:t>财政部门安排的行政单位（包括实行公务员管理的事业单位，下同）基本医疗保险缴费经费，未参加医疗保险的行政单位的公费医疗经费，按国家规定享受离休人员、红军老战士待遇人员的医疗经费</w:t>
      </w:r>
      <w:r>
        <w:rPr>
          <w:rFonts w:hint="eastAsia" w:ascii="仿宋_GB2312" w:hAnsi="仿宋_GB2312" w:eastAsia="仿宋_GB2312" w:cs="仿宋_GB2312"/>
          <w:sz w:val="32"/>
          <w:szCs w:val="32"/>
          <w:lang w:eastAsia="zh-CN"/>
        </w:rPr>
        <w:t>。</w:t>
      </w:r>
    </w:p>
    <w:p w14:paraId="66685A21">
      <w:pPr>
        <w:pStyle w:val="15"/>
        <w:keepNext w:val="0"/>
        <w:keepLines w:val="0"/>
        <w:pageBreakBefore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w:t>
      </w:r>
      <w:r>
        <w:rPr>
          <w:rFonts w:hint="eastAsia" w:ascii="仿宋_GB2312" w:hAnsi="仿宋_GB2312" w:eastAsia="仿宋_GB2312" w:cs="仿宋_GB2312"/>
          <w:sz w:val="32"/>
          <w:szCs w:val="32"/>
          <w:lang w:val="en-US" w:eastAsia="zh-CN"/>
        </w:rPr>
        <w:t>7</w:t>
      </w:r>
      <w:r>
        <w:rPr>
          <w:rFonts w:hint="eastAsia" w:ascii="仿宋_GB2312" w:hAnsi="仿宋_GB2312" w:eastAsia="仿宋_GB2312" w:cs="仿宋_GB2312"/>
          <w:sz w:val="32"/>
          <w:szCs w:val="32"/>
        </w:rPr>
        <w:t>.卫生健康支出（类）行政事业单位医疗（款）事业单位医疗（项）</w:t>
      </w:r>
      <w:r>
        <w:rPr>
          <w:rFonts w:hint="eastAsia" w:ascii="仿宋_GB2312" w:hAnsi="仿宋_GB2312" w:eastAsia="仿宋_GB2312" w:cs="仿宋_GB2312"/>
          <w:color w:val="auto"/>
          <w:sz w:val="32"/>
          <w:szCs w:val="32"/>
        </w:rPr>
        <w:t>：指</w:t>
      </w:r>
      <w:r>
        <w:rPr>
          <w:rFonts w:hint="eastAsia" w:ascii="仿宋_GB2312" w:hAnsi="仿宋_GB2312" w:eastAsia="仿宋_GB2312" w:cs="仿宋_GB2312"/>
          <w:sz w:val="32"/>
          <w:szCs w:val="32"/>
        </w:rPr>
        <w:t>财政部门安排的事业单位基本医疗保险缴费经费，未参加医疗保险的事业单位的公费医疗经费，按国家规定享受离休人员待遇的医疗经费。</w:t>
      </w:r>
    </w:p>
    <w:p w14:paraId="0AA74C40">
      <w:pPr>
        <w:pStyle w:val="27"/>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w:t>
      </w:r>
      <w:r>
        <w:rPr>
          <w:rFonts w:hint="eastAsia" w:ascii="仿宋_GB2312" w:hAnsi="仿宋_GB2312" w:eastAsia="仿宋_GB2312" w:cs="仿宋_GB2312"/>
          <w:color w:val="auto"/>
          <w:sz w:val="32"/>
          <w:szCs w:val="32"/>
          <w:lang w:val="en-US" w:eastAsia="zh-CN"/>
        </w:rPr>
        <w:t>8</w:t>
      </w:r>
      <w:r>
        <w:rPr>
          <w:rFonts w:hint="eastAsia" w:ascii="仿宋_GB2312" w:hAnsi="仿宋_GB2312" w:eastAsia="仿宋_GB2312" w:cs="仿宋_GB2312"/>
          <w:color w:val="auto"/>
          <w:sz w:val="32"/>
          <w:szCs w:val="32"/>
        </w:rPr>
        <w:t>.卫生健康支出（类）行政事业单位医疗（款）公务员医疗补助（项）：指财政部门安排的公务员医疗补助经费。</w:t>
      </w:r>
    </w:p>
    <w:p w14:paraId="64D942C8">
      <w:pPr>
        <w:pStyle w:val="27"/>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w:t>
      </w:r>
      <w:r>
        <w:rPr>
          <w:rFonts w:hint="eastAsia" w:ascii="仿宋_GB2312" w:hAnsi="仿宋_GB2312" w:eastAsia="仿宋_GB2312" w:cs="仿宋_GB2312"/>
          <w:color w:val="auto"/>
          <w:sz w:val="32"/>
          <w:szCs w:val="32"/>
          <w:lang w:val="en-US" w:eastAsia="zh-CN"/>
        </w:rPr>
        <w:t>9</w:t>
      </w:r>
      <w:r>
        <w:rPr>
          <w:rFonts w:hint="eastAsia" w:ascii="仿宋_GB2312" w:hAnsi="仿宋_GB2312" w:eastAsia="仿宋_GB2312" w:cs="仿宋_GB2312"/>
          <w:color w:val="auto"/>
          <w:sz w:val="32"/>
          <w:szCs w:val="32"/>
        </w:rPr>
        <w:t>.农林水支出（类）巩固脱贫攻坚成果衔接乡村振兴（款）其他巩固脱贫攻坚成果衔接乡村振兴支出（项）：指用于农村（包括国有农场、国有林场）巩固拓展脱贫攻坚成果同乡村振兴有效衔接等方面的支出。</w:t>
      </w:r>
    </w:p>
    <w:p w14:paraId="61824DFB">
      <w:pPr>
        <w:pStyle w:val="27"/>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20</w:t>
      </w:r>
      <w:r>
        <w:rPr>
          <w:rFonts w:hint="eastAsia" w:ascii="仿宋_GB2312" w:hAnsi="仿宋_GB2312" w:eastAsia="仿宋_GB2312" w:cs="仿宋_GB2312"/>
          <w:color w:val="auto"/>
          <w:sz w:val="32"/>
          <w:szCs w:val="32"/>
        </w:rPr>
        <w:t>.住房保障支出（类）住房改革支出（款）住房公积金（项）：指行政事业单位按人力资源和社会保障部、财政部规定的基本工资和津贴补贴以及规定比例为职工缴纳的住房公积金。</w:t>
      </w:r>
    </w:p>
    <w:p w14:paraId="4BD6468D">
      <w:pPr>
        <w:pStyle w:val="5"/>
        <w:keepNext w:val="0"/>
        <w:keepLines w:val="0"/>
        <w:pageBreakBefore w:val="0"/>
        <w:kinsoku/>
        <w:wordWrap/>
        <w:overflowPunct/>
        <w:topLinePunct w:val="0"/>
        <w:autoSpaceDE/>
        <w:autoSpaceDN/>
        <w:bidi w:val="0"/>
        <w:adjustRightInd/>
        <w:snapToGrid/>
        <w:spacing w:after="0" w:line="56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w:t>
      </w: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rPr>
        <w:t>.其他支出（类）其他支出（款）彩票公益金安排的支出（项）</w:t>
      </w:r>
      <w:r>
        <w:rPr>
          <w:rFonts w:hint="eastAsia" w:ascii="仿宋_GB2312" w:hAnsi="仿宋_GB2312" w:eastAsia="仿宋_GB2312" w:cs="仿宋_GB2312"/>
          <w:color w:val="auto"/>
          <w:sz w:val="32"/>
          <w:szCs w:val="32"/>
        </w:rPr>
        <w:t>：指</w:t>
      </w:r>
      <w:r>
        <w:rPr>
          <w:rFonts w:hint="eastAsia" w:ascii="仿宋_GB2312" w:hAnsi="仿宋_GB2312" w:eastAsia="仿宋_GB2312" w:cs="仿宋_GB2312"/>
          <w:sz w:val="32"/>
          <w:szCs w:val="32"/>
        </w:rPr>
        <w:t>用于体育事业的彩票公益金支出。</w:t>
      </w:r>
    </w:p>
    <w:p w14:paraId="1FA72EE8">
      <w:pPr>
        <w:spacing w:line="600" w:lineRule="exact"/>
        <w:ind w:firstLine="640"/>
        <w:rPr>
          <w:rFonts w:hint="eastAsia" w:ascii="Times New Roman" w:hAnsi="Times New Roman" w:eastAsia="仿宋_GB2312" w:cs="仿宋_GB2312"/>
          <w:color w:val="auto"/>
          <w:kern w:val="2"/>
          <w:sz w:val="32"/>
          <w:szCs w:val="32"/>
          <w:highlight w:val="none"/>
          <w:lang w:val="en-US" w:eastAsia="zh-CN" w:bidi="ar-SA"/>
        </w:rPr>
      </w:pPr>
      <w:r>
        <w:rPr>
          <w:rFonts w:hint="eastAsia" w:ascii="Times New Roman" w:hAnsi="Times New Roman" w:eastAsia="仿宋_GB2312" w:cs="仿宋_GB2312"/>
          <w:b/>
          <w:bCs/>
          <w:color w:val="auto"/>
          <w:kern w:val="2"/>
          <w:sz w:val="32"/>
          <w:szCs w:val="32"/>
          <w:highlight w:val="none"/>
          <w:lang w:val="en-US" w:eastAsia="zh-CN" w:bidi="ar-SA"/>
        </w:rPr>
        <w:t>（</w:t>
      </w:r>
      <w:r>
        <w:rPr>
          <w:rFonts w:hint="eastAsia" w:eastAsia="仿宋_GB2312" w:cs="仿宋_GB2312"/>
          <w:b/>
          <w:bCs/>
          <w:color w:val="auto"/>
          <w:kern w:val="2"/>
          <w:sz w:val="32"/>
          <w:szCs w:val="32"/>
          <w:highlight w:val="none"/>
          <w:lang w:val="en-US" w:eastAsia="zh-CN" w:bidi="ar-SA"/>
        </w:rPr>
        <w:t>注：</w:t>
      </w:r>
      <w:r>
        <w:rPr>
          <w:rFonts w:hint="eastAsia" w:ascii="Times New Roman" w:hAnsi="Times New Roman" w:eastAsia="仿宋_GB2312" w:cs="仿宋_GB2312"/>
          <w:b/>
          <w:bCs/>
          <w:color w:val="auto"/>
          <w:kern w:val="2"/>
          <w:sz w:val="32"/>
          <w:szCs w:val="32"/>
          <w:highlight w:val="none"/>
          <w:lang w:val="en-US" w:eastAsia="zh-CN" w:bidi="ar-SA"/>
        </w:rPr>
        <w:t>解释本部门决算报表中涉及的全部功能分类科目至项级，不涉及的科目请自行删除。请参照</w:t>
      </w:r>
      <w:r>
        <w:rPr>
          <w:rFonts w:hint="eastAsia" w:eastAsia="仿宋_GB2312" w:cs="仿宋_GB2312"/>
          <w:b/>
          <w:bCs/>
          <w:color w:val="auto"/>
          <w:kern w:val="2"/>
          <w:sz w:val="32"/>
          <w:szCs w:val="32"/>
          <w:highlight w:val="none"/>
          <w:lang w:val="en-US" w:eastAsia="zh-CN" w:bidi="ar-SA"/>
        </w:rPr>
        <w:t>《</w:t>
      </w:r>
      <w:r>
        <w:rPr>
          <w:rFonts w:hint="eastAsia" w:ascii="Times New Roman" w:hAnsi="Times New Roman" w:eastAsia="仿宋_GB2312" w:cs="仿宋_GB2312"/>
          <w:b/>
          <w:bCs/>
          <w:color w:val="auto"/>
          <w:kern w:val="2"/>
          <w:sz w:val="32"/>
          <w:szCs w:val="32"/>
          <w:highlight w:val="none"/>
          <w:lang w:val="en-US" w:eastAsia="zh-CN" w:bidi="ar-SA"/>
        </w:rPr>
        <w:t>202</w:t>
      </w:r>
      <w:r>
        <w:rPr>
          <w:rFonts w:hint="eastAsia" w:eastAsia="仿宋_GB2312" w:cs="仿宋_GB2312"/>
          <w:b/>
          <w:bCs/>
          <w:color w:val="auto"/>
          <w:kern w:val="2"/>
          <w:sz w:val="32"/>
          <w:szCs w:val="32"/>
          <w:highlight w:val="none"/>
          <w:lang w:val="en-US" w:eastAsia="zh-CN" w:bidi="ar-SA"/>
        </w:rPr>
        <w:t>4</w:t>
      </w:r>
      <w:r>
        <w:rPr>
          <w:rFonts w:hint="eastAsia" w:ascii="Times New Roman" w:hAnsi="Times New Roman" w:eastAsia="仿宋_GB2312" w:cs="仿宋_GB2312"/>
          <w:b/>
          <w:bCs/>
          <w:color w:val="auto"/>
          <w:kern w:val="2"/>
          <w:sz w:val="32"/>
          <w:szCs w:val="32"/>
          <w:highlight w:val="none"/>
          <w:lang w:val="en-US" w:eastAsia="zh-CN" w:bidi="ar-SA"/>
        </w:rPr>
        <w:t>年政府收支分类科目</w:t>
      </w:r>
      <w:r>
        <w:rPr>
          <w:rFonts w:hint="eastAsia" w:eastAsia="仿宋_GB2312" w:cs="仿宋_GB2312"/>
          <w:b/>
          <w:bCs/>
          <w:color w:val="auto"/>
          <w:kern w:val="2"/>
          <w:sz w:val="32"/>
          <w:szCs w:val="32"/>
          <w:highlight w:val="none"/>
          <w:lang w:val="en-US" w:eastAsia="zh-CN" w:bidi="ar-SA"/>
        </w:rPr>
        <w:t>》</w:t>
      </w:r>
      <w:r>
        <w:rPr>
          <w:rFonts w:hint="eastAsia" w:ascii="Times New Roman" w:hAnsi="Times New Roman" w:eastAsia="仿宋_GB2312" w:cs="仿宋_GB2312"/>
          <w:b/>
          <w:bCs/>
          <w:color w:val="auto"/>
          <w:kern w:val="2"/>
          <w:sz w:val="32"/>
          <w:szCs w:val="32"/>
          <w:highlight w:val="none"/>
          <w:lang w:val="en-US" w:eastAsia="zh-CN" w:bidi="ar-SA"/>
        </w:rPr>
        <w:t>增减内容）</w:t>
      </w:r>
    </w:p>
    <w:p w14:paraId="76BCD0F2">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color w:val="auto"/>
          <w:kern w:val="2"/>
          <w:sz w:val="32"/>
          <w:szCs w:val="32"/>
          <w:highlight w:val="none"/>
          <w:lang w:val="en-US" w:eastAsia="zh-CN" w:bidi="ar-SA"/>
        </w:rPr>
      </w:pPr>
      <w:r>
        <w:rPr>
          <w:rFonts w:hint="eastAsia" w:ascii="仿宋_GB2312" w:hAnsi="仿宋_GB2312" w:eastAsia="仿宋_GB2312" w:cs="仿宋_GB2312"/>
          <w:color w:val="auto"/>
          <w:kern w:val="2"/>
          <w:sz w:val="32"/>
          <w:szCs w:val="32"/>
          <w:highlight w:val="none"/>
          <w:lang w:val="en-US" w:eastAsia="zh-CN" w:bidi="ar-SA"/>
        </w:rPr>
        <w:t>22.基本支出：指为保障机构正常运转、完成日常工作任务而发生的人员支出和公用支出。</w:t>
      </w:r>
    </w:p>
    <w:p w14:paraId="02D71998">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color w:val="auto"/>
          <w:kern w:val="2"/>
          <w:sz w:val="32"/>
          <w:szCs w:val="32"/>
          <w:highlight w:val="none"/>
          <w:lang w:val="en-US" w:eastAsia="zh-CN" w:bidi="ar-SA"/>
        </w:rPr>
      </w:pPr>
      <w:r>
        <w:rPr>
          <w:rFonts w:hint="eastAsia" w:ascii="仿宋_GB2312" w:hAnsi="仿宋_GB2312" w:eastAsia="仿宋_GB2312" w:cs="仿宋_GB2312"/>
          <w:color w:val="auto"/>
          <w:kern w:val="2"/>
          <w:sz w:val="32"/>
          <w:szCs w:val="32"/>
          <w:highlight w:val="none"/>
          <w:lang w:val="en-US" w:eastAsia="zh-CN" w:bidi="ar-SA"/>
        </w:rPr>
        <w:t xml:space="preserve">23.项目支出：指在基本支出之外为完成特定行政任务和事业发展目标所发生的支出。 </w:t>
      </w:r>
    </w:p>
    <w:p w14:paraId="011C2C18">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color w:val="auto"/>
          <w:kern w:val="2"/>
          <w:sz w:val="32"/>
          <w:szCs w:val="32"/>
          <w:highlight w:val="none"/>
          <w:lang w:val="en-US" w:eastAsia="zh-CN" w:bidi="ar-SA"/>
        </w:rPr>
      </w:pPr>
      <w:r>
        <w:rPr>
          <w:rFonts w:hint="eastAsia" w:ascii="仿宋_GB2312" w:hAnsi="仿宋_GB2312" w:eastAsia="仿宋_GB2312" w:cs="仿宋_GB2312"/>
          <w:color w:val="auto"/>
          <w:kern w:val="2"/>
          <w:sz w:val="32"/>
          <w:szCs w:val="32"/>
          <w:highlight w:val="none"/>
          <w:lang w:val="en-US" w:eastAsia="zh-CN" w:bidi="ar-SA"/>
        </w:rPr>
        <w:t>24.经营支出：指事业单位在专业业务活动及其辅助活动之外开展非独立核算经营活动发生的支出。</w:t>
      </w:r>
    </w:p>
    <w:p w14:paraId="50460C34">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color w:val="auto"/>
          <w:kern w:val="2"/>
          <w:sz w:val="32"/>
          <w:szCs w:val="32"/>
          <w:highlight w:val="none"/>
          <w:lang w:val="en-US" w:eastAsia="zh-CN" w:bidi="ar-SA"/>
        </w:rPr>
      </w:pPr>
      <w:r>
        <w:rPr>
          <w:rFonts w:hint="eastAsia" w:ascii="仿宋_GB2312" w:hAnsi="仿宋_GB2312" w:eastAsia="仿宋_GB2312" w:cs="仿宋_GB2312"/>
          <w:color w:val="auto"/>
          <w:kern w:val="2"/>
          <w:sz w:val="32"/>
          <w:szCs w:val="32"/>
          <w:highlight w:val="none"/>
          <w:lang w:val="en-US" w:eastAsia="zh-CN" w:bidi="ar-SA"/>
        </w:rPr>
        <w:t>25.“三公”经费：指部门用财政拨款安排的因公出国（境）费、公务用车购置及运行费和公务接待费。其中，因公出国（境）费反映单位公务出国（境）的国际旅费、国外城市间交通费、住宿费、伙食费、培训费、公杂费等支出；公务用车购置及运行费反映单位公务用车车辆购置支出（含车辆购置税）及租用费、燃料费、维修费、过路过桥费、保险费等支出；公务接待费反映单位按规定开支的各类公务接待（含外宾接待）支出。</w:t>
      </w:r>
    </w:p>
    <w:p w14:paraId="28AC5E8A">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color w:val="auto"/>
          <w:kern w:val="2"/>
          <w:sz w:val="32"/>
          <w:szCs w:val="32"/>
          <w:highlight w:val="none"/>
          <w:lang w:val="en-US" w:eastAsia="zh-CN" w:bidi="ar-SA"/>
        </w:rPr>
      </w:pPr>
      <w:r>
        <w:rPr>
          <w:rFonts w:hint="eastAsia" w:ascii="仿宋_GB2312" w:hAnsi="仿宋_GB2312" w:eastAsia="仿宋_GB2312" w:cs="仿宋_GB2312"/>
          <w:color w:val="auto"/>
          <w:kern w:val="2"/>
          <w:sz w:val="32"/>
          <w:szCs w:val="32"/>
          <w:highlight w:val="none"/>
          <w:lang w:val="en-US" w:eastAsia="zh-CN" w:bidi="ar-SA"/>
        </w:rPr>
        <w:t>26.机关运行经费：为保障行政单位（含参照公务员法管理的事业单位）运行用于购买货物和服务的各项资金，包括办公及印刷费、邮电费、差旅费、会议费、福利费、日常维修费、专用材料及一般设备购置费、办公用房水电费、办公用房取暖费、办公用房物业管理费、公务用车运行维护费以及其他费用。</w:t>
      </w:r>
    </w:p>
    <w:p w14:paraId="197930E9">
      <w:pPr>
        <w:spacing w:line="600" w:lineRule="exact"/>
        <w:ind w:firstLine="640"/>
        <w:rPr>
          <w:rFonts w:hint="eastAsia" w:ascii="Times New Roman" w:hAnsi="Times New Roman" w:eastAsia="仿宋_GB2312" w:cs="仿宋_GB2312"/>
          <w:b/>
          <w:bCs/>
          <w:color w:val="auto"/>
          <w:kern w:val="2"/>
          <w:sz w:val="32"/>
          <w:szCs w:val="32"/>
          <w:highlight w:val="none"/>
          <w:lang w:val="en-US" w:eastAsia="zh-CN" w:bidi="ar-SA"/>
        </w:rPr>
      </w:pPr>
      <w:r>
        <w:rPr>
          <w:rFonts w:hint="eastAsia" w:ascii="Times New Roman" w:hAnsi="Times New Roman" w:eastAsia="仿宋_GB2312" w:cs="仿宋_GB2312"/>
          <w:b/>
          <w:bCs/>
          <w:color w:val="auto"/>
          <w:kern w:val="2"/>
          <w:sz w:val="32"/>
          <w:szCs w:val="32"/>
          <w:highlight w:val="none"/>
          <w:lang w:val="en-US" w:eastAsia="zh-CN" w:bidi="ar-SA"/>
        </w:rPr>
        <w:t>（注：名词解释部分请根据各部门实际列支情况罗列，并根据本部门职责职能增减名词解释内容）</w:t>
      </w:r>
    </w:p>
    <w:p w14:paraId="2E9D988D">
      <w:pPr>
        <w:pStyle w:val="2"/>
        <w:bidi w:val="0"/>
        <w:jc w:val="center"/>
        <w:rPr>
          <w:rStyle w:val="29"/>
          <w:rFonts w:hint="eastAsia" w:ascii="Times New Roman" w:hAnsi="Times New Roman" w:eastAsia="黑体"/>
          <w:b w:val="0"/>
          <w:bCs/>
          <w:color w:val="auto"/>
          <w:highlight w:val="none"/>
          <w:lang w:eastAsia="zh-CN"/>
        </w:rPr>
      </w:pPr>
      <w:bookmarkStart w:id="63" w:name="_Toc15377226"/>
      <w:r>
        <w:rPr>
          <w:rFonts w:hint="eastAsia" w:ascii="Times New Roman" w:hAnsi="Times New Roman" w:eastAsia="仿宋_GB2312" w:cs="仿宋_GB2312"/>
          <w:color w:val="auto"/>
          <w:kern w:val="2"/>
          <w:sz w:val="32"/>
          <w:szCs w:val="32"/>
          <w:highlight w:val="none"/>
          <w:lang w:val="en-US" w:eastAsia="zh-CN" w:bidi="ar-SA"/>
        </w:rPr>
        <w:br w:type="page"/>
      </w:r>
      <w:bookmarkStart w:id="64" w:name="_Toc15396614"/>
      <w:bookmarkStart w:id="65" w:name="_Toc12735"/>
      <w:r>
        <w:rPr>
          <w:rFonts w:hint="eastAsia" w:ascii="Times New Roman" w:hAnsi="Times New Roman" w:eastAsia="黑体"/>
          <w:color w:val="auto"/>
          <w:sz w:val="44"/>
          <w:szCs w:val="44"/>
          <w:highlight w:val="none"/>
        </w:rPr>
        <w:t>第四部分</w:t>
      </w:r>
      <w:r>
        <w:rPr>
          <w:rFonts w:hint="eastAsia" w:ascii="Times New Roman" w:hAnsi="Times New Roman" w:eastAsia="黑体"/>
          <w:color w:val="auto"/>
          <w:sz w:val="44"/>
          <w:szCs w:val="44"/>
          <w:highlight w:val="none"/>
          <w:lang w:val="en-US" w:eastAsia="zh-CN"/>
        </w:rPr>
        <w:t xml:space="preserve"> </w:t>
      </w:r>
      <w:r>
        <w:rPr>
          <w:rFonts w:hint="eastAsia" w:ascii="Times New Roman" w:hAnsi="Times New Roman" w:eastAsia="黑体"/>
          <w:color w:val="auto"/>
          <w:sz w:val="44"/>
          <w:szCs w:val="44"/>
          <w:highlight w:val="none"/>
        </w:rPr>
        <w:t xml:space="preserve"> 附件</w:t>
      </w:r>
      <w:bookmarkEnd w:id="64"/>
      <w:bookmarkEnd w:id="65"/>
    </w:p>
    <w:p w14:paraId="5F2297A0">
      <w:pPr>
        <w:keepNext w:val="0"/>
        <w:keepLines w:val="0"/>
        <w:pageBreakBefore w:val="0"/>
        <w:kinsoku/>
        <w:wordWrap/>
        <w:overflowPunct/>
        <w:topLinePunct w:val="0"/>
        <w:autoSpaceDE/>
        <w:autoSpaceDN/>
        <w:bidi w:val="0"/>
        <w:spacing w:line="572" w:lineRule="exact"/>
        <w:jc w:val="left"/>
        <w:textAlignment w:val="auto"/>
        <w:outlineLvl w:val="0"/>
        <w:rPr>
          <w:rFonts w:hint="eastAsia" w:ascii="Times New Roman" w:hAnsi="Times New Roman" w:eastAsia="黑体" w:cs="黑体"/>
          <w:color w:val="FF0000"/>
          <w:sz w:val="32"/>
          <w:szCs w:val="32"/>
          <w:highlight w:val="none"/>
        </w:rPr>
      </w:pPr>
    </w:p>
    <w:p w14:paraId="21B1D33B">
      <w:pPr>
        <w:keepNext w:val="0"/>
        <w:keepLines w:val="0"/>
        <w:pageBreakBefore w:val="0"/>
        <w:kinsoku/>
        <w:wordWrap/>
        <w:overflowPunct/>
        <w:topLinePunct w:val="0"/>
        <w:autoSpaceDE/>
        <w:autoSpaceDN/>
        <w:bidi w:val="0"/>
        <w:spacing w:line="572" w:lineRule="exact"/>
        <w:jc w:val="left"/>
        <w:textAlignment w:val="auto"/>
        <w:outlineLvl w:val="0"/>
        <w:rPr>
          <w:rFonts w:hint="eastAsia" w:ascii="Times New Roman" w:hAnsi="Times New Roman" w:eastAsia="黑体" w:cs="方正小标宋简体"/>
          <w:color w:val="auto"/>
          <w:sz w:val="44"/>
          <w:szCs w:val="44"/>
          <w:highlight w:val="none"/>
          <w:lang w:val="en-US" w:eastAsia="zh-CN"/>
        </w:rPr>
      </w:pPr>
      <w:bookmarkStart w:id="66" w:name="_Toc28979"/>
      <w:r>
        <w:rPr>
          <w:rFonts w:hint="eastAsia" w:ascii="Times New Roman" w:hAnsi="Times New Roman" w:eastAsia="黑体" w:cs="黑体"/>
          <w:color w:val="auto"/>
          <w:sz w:val="32"/>
          <w:szCs w:val="32"/>
          <w:highlight w:val="none"/>
        </w:rPr>
        <w:t>附件</w:t>
      </w:r>
      <w:r>
        <w:rPr>
          <w:rFonts w:hint="eastAsia" w:ascii="Times New Roman" w:hAnsi="Times New Roman" w:eastAsia="黑体" w:cs="黑体"/>
          <w:color w:val="auto"/>
          <w:sz w:val="32"/>
          <w:szCs w:val="32"/>
          <w:highlight w:val="none"/>
          <w:lang w:val="en-US" w:eastAsia="zh-CN"/>
        </w:rPr>
        <w:t>1</w:t>
      </w:r>
      <w:bookmarkEnd w:id="66"/>
    </w:p>
    <w:p w14:paraId="27DBF5C2">
      <w:pPr>
        <w:keepNext w:val="0"/>
        <w:keepLines w:val="0"/>
        <w:pageBreakBefore w:val="0"/>
        <w:widowControl/>
        <w:kinsoku/>
        <w:wordWrap/>
        <w:overflowPunct/>
        <w:topLinePunct w:val="0"/>
        <w:autoSpaceDE/>
        <w:autoSpaceDN/>
        <w:bidi w:val="0"/>
        <w:spacing w:line="578" w:lineRule="exact"/>
        <w:contextualSpacing/>
        <w:jc w:val="center"/>
        <w:textAlignment w:val="auto"/>
        <w:outlineLvl w:val="9"/>
        <w:rPr>
          <w:rFonts w:hint="default" w:ascii="Times New Roman" w:hAnsi="Times New Roman" w:eastAsia="方正小标宋简体" w:cs="Times New Roman"/>
          <w:b w:val="0"/>
          <w:bCs/>
          <w:sz w:val="44"/>
          <w:szCs w:val="44"/>
          <w:highlight w:val="none"/>
          <w:shd w:val="clear" w:color="auto" w:fill="FFFFFF"/>
        </w:rPr>
      </w:pPr>
    </w:p>
    <w:p w14:paraId="3185644D">
      <w:pPr>
        <w:keepNext w:val="0"/>
        <w:keepLines w:val="0"/>
        <w:pageBreakBefore w:val="0"/>
        <w:widowControl/>
        <w:kinsoku/>
        <w:wordWrap/>
        <w:overflowPunct/>
        <w:topLinePunct w:val="0"/>
        <w:autoSpaceDE/>
        <w:autoSpaceDN/>
        <w:bidi w:val="0"/>
        <w:spacing w:line="578" w:lineRule="exact"/>
        <w:contextualSpacing/>
        <w:jc w:val="center"/>
        <w:textAlignment w:val="auto"/>
        <w:outlineLvl w:val="9"/>
        <w:rPr>
          <w:rFonts w:hint="default" w:ascii="Times New Roman" w:hAnsi="Times New Roman" w:eastAsia="方正小标宋简体" w:cs="Times New Roman"/>
          <w:b w:val="0"/>
          <w:bCs/>
          <w:sz w:val="44"/>
          <w:szCs w:val="44"/>
          <w:highlight w:val="none"/>
          <w:shd w:val="clear" w:color="auto" w:fill="FFFFFF"/>
        </w:rPr>
      </w:pPr>
      <w:r>
        <w:rPr>
          <w:rFonts w:hint="default" w:ascii="Times New Roman" w:hAnsi="Times New Roman" w:eastAsia="方正小标宋简体" w:cs="Times New Roman"/>
          <w:b w:val="0"/>
          <w:bCs/>
          <w:sz w:val="44"/>
          <w:szCs w:val="44"/>
          <w:highlight w:val="none"/>
          <w:shd w:val="clear" w:color="auto" w:fill="FFFFFF"/>
        </w:rPr>
        <w:t>部门</w:t>
      </w:r>
      <w:r>
        <w:rPr>
          <w:rFonts w:hint="default" w:ascii="Times New Roman" w:hAnsi="Times New Roman" w:eastAsia="方正小标宋简体" w:cs="Times New Roman"/>
          <w:b w:val="0"/>
          <w:bCs/>
          <w:sz w:val="44"/>
          <w:szCs w:val="44"/>
          <w:highlight w:val="none"/>
          <w:shd w:val="clear" w:color="auto" w:fill="FFFFFF"/>
          <w:lang w:eastAsia="zh-CN"/>
        </w:rPr>
        <w:t>预算</w:t>
      </w:r>
      <w:r>
        <w:rPr>
          <w:rFonts w:hint="default" w:ascii="Times New Roman" w:hAnsi="Times New Roman" w:eastAsia="方正小标宋简体" w:cs="Times New Roman"/>
          <w:b w:val="0"/>
          <w:bCs/>
          <w:sz w:val="44"/>
          <w:szCs w:val="44"/>
          <w:highlight w:val="none"/>
          <w:shd w:val="clear" w:color="auto" w:fill="FFFFFF"/>
        </w:rPr>
        <w:t>绩效</w:t>
      </w:r>
      <w:r>
        <w:rPr>
          <w:rFonts w:hint="eastAsia" w:ascii="Times New Roman" w:hAnsi="Times New Roman" w:eastAsia="方正小标宋简体" w:cs="Times New Roman"/>
          <w:b w:val="0"/>
          <w:bCs/>
          <w:sz w:val="44"/>
          <w:szCs w:val="44"/>
          <w:highlight w:val="none"/>
          <w:shd w:val="clear" w:color="auto" w:fill="FFFFFF"/>
          <w:lang w:eastAsia="zh-CN"/>
        </w:rPr>
        <w:t>评价</w:t>
      </w:r>
      <w:r>
        <w:rPr>
          <w:rFonts w:hint="default" w:ascii="Times New Roman" w:hAnsi="Times New Roman" w:eastAsia="方正小标宋简体" w:cs="Times New Roman"/>
          <w:b w:val="0"/>
          <w:bCs/>
          <w:sz w:val="44"/>
          <w:szCs w:val="44"/>
          <w:highlight w:val="none"/>
          <w:shd w:val="clear" w:color="auto" w:fill="FFFFFF"/>
        </w:rPr>
        <w:t>报告</w:t>
      </w:r>
    </w:p>
    <w:p w14:paraId="7F8E2BD4">
      <w:pPr>
        <w:keepNext w:val="0"/>
        <w:keepLines w:val="0"/>
        <w:pageBreakBefore w:val="0"/>
        <w:widowControl/>
        <w:kinsoku/>
        <w:wordWrap/>
        <w:overflowPunct/>
        <w:topLinePunct w:val="0"/>
        <w:autoSpaceDE/>
        <w:autoSpaceDN/>
        <w:bidi w:val="0"/>
        <w:spacing w:line="578" w:lineRule="exact"/>
        <w:contextualSpacing/>
        <w:jc w:val="center"/>
        <w:textAlignment w:val="auto"/>
        <w:outlineLvl w:val="9"/>
        <w:rPr>
          <w:rFonts w:hint="default" w:ascii="Times New Roman" w:hAnsi="Times New Roman" w:eastAsia="仿宋_GB2312" w:cs="Times New Roman"/>
          <w:sz w:val="32"/>
          <w:szCs w:val="32"/>
          <w:highlight w:val="none"/>
          <w:shd w:val="clear" w:color="auto" w:fill="FFFFFF"/>
        </w:rPr>
      </w:pPr>
      <w:r>
        <w:rPr>
          <w:rFonts w:hint="default" w:ascii="Times New Roman" w:hAnsi="Times New Roman" w:eastAsia="仿宋_GB2312" w:cs="Times New Roman"/>
          <w:sz w:val="32"/>
          <w:szCs w:val="32"/>
          <w:highlight w:val="none"/>
          <w:shd w:val="clear" w:color="auto" w:fill="FFFFFF"/>
        </w:rPr>
        <w:t>（报告范围包括机关和下属单位）</w:t>
      </w:r>
    </w:p>
    <w:p w14:paraId="5D8A9958">
      <w:pPr>
        <w:keepNext w:val="0"/>
        <w:keepLines w:val="0"/>
        <w:pageBreakBefore w:val="0"/>
        <w:widowControl/>
        <w:kinsoku/>
        <w:wordWrap/>
        <w:overflowPunct/>
        <w:topLinePunct w:val="0"/>
        <w:autoSpaceDE/>
        <w:autoSpaceDN/>
        <w:bidi w:val="0"/>
        <w:adjustRightInd w:val="0"/>
        <w:snapToGrid w:val="0"/>
        <w:spacing w:line="578" w:lineRule="exact"/>
        <w:ind w:firstLine="480" w:firstLineChars="200"/>
        <w:contextualSpacing/>
        <w:jc w:val="left"/>
        <w:textAlignment w:val="auto"/>
        <w:outlineLvl w:val="9"/>
        <w:rPr>
          <w:rFonts w:hint="default" w:ascii="Times New Roman" w:hAnsi="Times New Roman" w:eastAsia="黑体" w:cs="Times New Roman"/>
          <w:color w:val="000000"/>
          <w:kern w:val="0"/>
          <w:sz w:val="24"/>
          <w:szCs w:val="32"/>
          <w:highlight w:val="none"/>
          <w:shd w:val="clear" w:color="auto" w:fill="FFFFFF"/>
        </w:rPr>
      </w:pPr>
    </w:p>
    <w:p w14:paraId="6BD3FB1B">
      <w:pPr>
        <w:keepNext w:val="0"/>
        <w:keepLines w:val="0"/>
        <w:pageBreakBefore w:val="0"/>
        <w:widowControl/>
        <w:numPr>
          <w:ilvl w:val="0"/>
          <w:numId w:val="0"/>
        </w:numPr>
        <w:kinsoku/>
        <w:wordWrap/>
        <w:overflowPunct/>
        <w:topLinePunct w:val="0"/>
        <w:autoSpaceDE/>
        <w:autoSpaceDN/>
        <w:bidi w:val="0"/>
        <w:adjustRightInd w:val="0"/>
        <w:snapToGrid w:val="0"/>
        <w:spacing w:line="560" w:lineRule="exact"/>
        <w:ind w:firstLine="640" w:firstLineChars="200"/>
        <w:contextualSpacing/>
        <w:jc w:val="both"/>
        <w:textAlignment w:val="auto"/>
        <w:outlineLvl w:val="9"/>
        <w:rPr>
          <w:rFonts w:hint="default" w:ascii="Times New Roman" w:hAnsi="Times New Roman" w:eastAsia="黑体" w:cs="Times New Roman"/>
          <w:color w:val="000000"/>
          <w:kern w:val="0"/>
          <w:sz w:val="32"/>
          <w:szCs w:val="32"/>
          <w:highlight w:val="none"/>
          <w:shd w:val="clear" w:color="auto" w:fill="FFFFFF"/>
          <w:lang w:val="zh-CN"/>
        </w:rPr>
      </w:pPr>
      <w:r>
        <w:rPr>
          <w:rFonts w:hint="eastAsia" w:ascii="Times New Roman" w:hAnsi="Times New Roman" w:eastAsia="黑体" w:cs="Times New Roman"/>
          <w:color w:val="000000"/>
          <w:kern w:val="0"/>
          <w:sz w:val="32"/>
          <w:szCs w:val="32"/>
          <w:highlight w:val="none"/>
          <w:shd w:val="clear" w:color="auto" w:fill="FFFFFF"/>
          <w:lang w:val="zh-CN"/>
        </w:rPr>
        <w:t>一、</w:t>
      </w:r>
      <w:r>
        <w:rPr>
          <w:rFonts w:hint="default" w:ascii="Times New Roman" w:hAnsi="Times New Roman" w:eastAsia="黑体" w:cs="Times New Roman"/>
          <w:color w:val="000000"/>
          <w:kern w:val="0"/>
          <w:sz w:val="32"/>
          <w:szCs w:val="32"/>
          <w:highlight w:val="none"/>
          <w:shd w:val="clear" w:color="auto" w:fill="FFFFFF"/>
          <w:lang w:val="zh-CN"/>
        </w:rPr>
        <w:t>部门（单位）基本情况</w:t>
      </w:r>
    </w:p>
    <w:p w14:paraId="0318007D">
      <w:pPr>
        <w:pStyle w:val="15"/>
        <w:keepNext w:val="0"/>
        <w:keepLines w:val="0"/>
        <w:pageBreakBefore w:val="0"/>
        <w:kinsoku/>
        <w:wordWrap/>
        <w:overflowPunct/>
        <w:topLinePunct w:val="0"/>
        <w:autoSpaceDE/>
        <w:autoSpaceDN/>
        <w:bidi w:val="0"/>
        <w:adjustRightInd w:val="0"/>
        <w:snapToGrid w:val="0"/>
        <w:spacing w:before="0" w:beforeAutospacing="0" w:after="0" w:afterAutospacing="0" w:line="560" w:lineRule="exact"/>
        <w:ind w:firstLine="643" w:firstLineChars="200"/>
        <w:jc w:val="both"/>
        <w:textAlignment w:val="auto"/>
        <w:rPr>
          <w:rFonts w:hint="eastAsia" w:ascii="仿宋_GB2312" w:hAnsi="仿宋_GB2312" w:eastAsia="仿宋_GB2312" w:cs="仿宋_GB2312"/>
          <w:sz w:val="32"/>
          <w:szCs w:val="32"/>
        </w:rPr>
      </w:pPr>
      <w:r>
        <w:rPr>
          <w:rFonts w:hint="eastAsia" w:ascii="Times New Roman" w:hAnsi="Times New Roman" w:eastAsia="楷体_GB2312" w:cs="楷体_GB2312"/>
          <w:b/>
          <w:color w:val="auto"/>
          <w:sz w:val="32"/>
          <w:szCs w:val="32"/>
          <w:highlight w:val="none"/>
          <w:lang w:val="zh-CN"/>
        </w:rPr>
        <w:t>（一）</w:t>
      </w:r>
      <w:r>
        <w:rPr>
          <w:rFonts w:hint="default" w:ascii="Times New Roman" w:hAnsi="Times New Roman" w:eastAsia="楷体_GB2312" w:cs="楷体_GB2312"/>
          <w:b/>
          <w:color w:val="auto"/>
          <w:sz w:val="32"/>
          <w:szCs w:val="32"/>
          <w:highlight w:val="none"/>
          <w:lang w:val="zh-CN"/>
        </w:rPr>
        <w:t>机构组成。</w:t>
      </w:r>
      <w:r>
        <w:rPr>
          <w:rFonts w:hint="eastAsia" w:ascii="仿宋_GB2312" w:hAnsi="仿宋_GB2312" w:eastAsia="仿宋_GB2312" w:cs="仿宋_GB2312"/>
          <w:sz w:val="32"/>
          <w:szCs w:val="32"/>
        </w:rPr>
        <w:t>乐山市金口河区文化广播电视体育和旅游局现有股室2个，分别是办公室（文化体育股）和旅游股，下属二级预算单位5个，其中行政单位0个，参照公务员法管理的事业单位</w:t>
      </w: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rPr>
        <w:t>个，其他事业单位</w:t>
      </w: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rPr>
        <w:t>个。主要包括：乐山市金口河区文化旅游市场综合执法大队、乐山市金口河区文化体育旅游宣传促进中心、乐山市金口河区文化馆、图书馆、文体中心。二级机构均无独立核算。</w:t>
      </w:r>
    </w:p>
    <w:p w14:paraId="4A97E018">
      <w:pPr>
        <w:pStyle w:val="15"/>
        <w:keepNext w:val="0"/>
        <w:keepLines w:val="0"/>
        <w:pageBreakBefore w:val="0"/>
        <w:kinsoku/>
        <w:wordWrap/>
        <w:overflowPunct/>
        <w:topLinePunct w:val="0"/>
        <w:autoSpaceDE/>
        <w:autoSpaceDN/>
        <w:bidi w:val="0"/>
        <w:adjustRightInd w:val="0"/>
        <w:snapToGrid w:val="0"/>
        <w:spacing w:before="0" w:beforeAutospacing="0" w:after="0" w:afterAutospacing="0" w:line="560" w:lineRule="exact"/>
        <w:ind w:firstLine="643" w:firstLineChars="200"/>
        <w:jc w:val="both"/>
        <w:textAlignment w:val="auto"/>
        <w:rPr>
          <w:rFonts w:hint="eastAsia" w:ascii="仿宋_GB2312" w:hAnsi="仿宋_GB2312" w:eastAsia="仿宋_GB2312" w:cs="仿宋_GB2312"/>
          <w:sz w:val="32"/>
          <w:szCs w:val="32"/>
        </w:rPr>
      </w:pPr>
      <w:r>
        <w:rPr>
          <w:rFonts w:hint="default" w:ascii="Times New Roman" w:hAnsi="Times New Roman" w:eastAsia="楷体_GB2312" w:cs="楷体_GB2312"/>
          <w:b/>
          <w:color w:val="auto"/>
          <w:sz w:val="32"/>
          <w:szCs w:val="32"/>
          <w:highlight w:val="none"/>
          <w:lang w:val="zh-CN"/>
        </w:rPr>
        <w:t>（二）机构职能</w:t>
      </w:r>
      <w:r>
        <w:rPr>
          <w:rFonts w:hint="eastAsia" w:ascii="Times New Roman" w:hAnsi="Times New Roman" w:eastAsia="楷体_GB2312" w:cs="楷体_GB2312"/>
          <w:b/>
          <w:color w:val="auto"/>
          <w:sz w:val="32"/>
          <w:szCs w:val="32"/>
          <w:highlight w:val="none"/>
          <w:lang w:val="zh-CN"/>
        </w:rPr>
        <w:t>。</w:t>
      </w:r>
      <w:r>
        <w:rPr>
          <w:rFonts w:hint="eastAsia" w:ascii="仿宋_GB2312" w:hAnsi="仿宋_GB2312" w:eastAsia="仿宋_GB2312" w:cs="仿宋_GB2312"/>
          <w:sz w:val="32"/>
          <w:szCs w:val="32"/>
        </w:rPr>
        <w:t>1.拟订文化、体育、旅游、广播电视、文物保护相关的政策措施和规范性文件并组织实施，负责本部门依法行政工作。</w:t>
      </w:r>
    </w:p>
    <w:p w14:paraId="3BB2C1B9">
      <w:pPr>
        <w:pStyle w:val="15"/>
        <w:keepNext w:val="0"/>
        <w:keepLines w:val="0"/>
        <w:pageBreakBefore w:val="0"/>
        <w:kinsoku/>
        <w:wordWrap/>
        <w:overflowPunct/>
        <w:topLinePunct w:val="0"/>
        <w:autoSpaceDE/>
        <w:autoSpaceDN/>
        <w:bidi w:val="0"/>
        <w:adjustRightInd w:val="0"/>
        <w:snapToGrid w:val="0"/>
        <w:spacing w:before="0" w:beforeAutospacing="0" w:after="0" w:afterAutospacing="0" w:line="56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2.组织推动全区文化体育事业、文化体育产业、旅游业、广播电视、文物保护业发展，拟订发展规划并组织实施，推进文化体育和旅游、广播电视体制机制改革，推进文化和旅游融合发展。</w:t>
      </w:r>
    </w:p>
    <w:p w14:paraId="4B1EF0DA">
      <w:pPr>
        <w:pStyle w:val="15"/>
        <w:keepNext w:val="0"/>
        <w:keepLines w:val="0"/>
        <w:pageBreakBefore w:val="0"/>
        <w:kinsoku/>
        <w:wordWrap/>
        <w:overflowPunct/>
        <w:topLinePunct w:val="0"/>
        <w:autoSpaceDE/>
        <w:autoSpaceDN/>
        <w:bidi w:val="0"/>
        <w:adjustRightInd w:val="0"/>
        <w:snapToGrid w:val="0"/>
        <w:spacing w:before="0" w:beforeAutospacing="0" w:after="0" w:afterAutospacing="0" w:line="56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3.管理全区重大文化、体育、旅游、广播电视活动，指导全区重点文化、体育、旅游、广播电视、文物设施建设，组织全区文化体育和旅游整体形象推广，制定旅游市场开发战略并组织实施，推进全域旅游。</w:t>
      </w:r>
    </w:p>
    <w:p w14:paraId="6BB12298">
      <w:pPr>
        <w:pStyle w:val="15"/>
        <w:keepNext w:val="0"/>
        <w:keepLines w:val="0"/>
        <w:pageBreakBefore w:val="0"/>
        <w:kinsoku/>
        <w:wordWrap/>
        <w:overflowPunct/>
        <w:topLinePunct w:val="0"/>
        <w:autoSpaceDE/>
        <w:autoSpaceDN/>
        <w:bidi w:val="0"/>
        <w:adjustRightInd w:val="0"/>
        <w:snapToGrid w:val="0"/>
        <w:spacing w:before="0" w:beforeAutospacing="0" w:after="0" w:afterAutospacing="0" w:line="56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4.指导管理文艺事业，推动艺术创作生产，扶持体现社会主义核心价值观、具有导向性代表性示范性的文艺作品，推动各门类艺术、各艺术品种发展，推动中华优秀传统文化和地方特色文化传承发展。</w:t>
      </w:r>
    </w:p>
    <w:p w14:paraId="7FACD51D">
      <w:pPr>
        <w:pStyle w:val="15"/>
        <w:keepNext w:val="0"/>
        <w:keepLines w:val="0"/>
        <w:pageBreakBefore w:val="0"/>
        <w:kinsoku/>
        <w:wordWrap/>
        <w:overflowPunct/>
        <w:topLinePunct w:val="0"/>
        <w:autoSpaceDE/>
        <w:autoSpaceDN/>
        <w:bidi w:val="0"/>
        <w:adjustRightInd w:val="0"/>
        <w:snapToGrid w:val="0"/>
        <w:spacing w:before="0" w:beforeAutospacing="0" w:after="0" w:afterAutospacing="0" w:line="56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5.负责公共文化事业发展，推进全区公共文化服务体系建设和旅游公共服务建设，深入实施文化体育广播电视旅游惠民工程，统筹推进基本公共文化服务标准化、均等化。</w:t>
      </w:r>
    </w:p>
    <w:p w14:paraId="73D63B32">
      <w:pPr>
        <w:pStyle w:val="15"/>
        <w:keepNext w:val="0"/>
        <w:keepLines w:val="0"/>
        <w:pageBreakBefore w:val="0"/>
        <w:kinsoku/>
        <w:wordWrap/>
        <w:overflowPunct/>
        <w:topLinePunct w:val="0"/>
        <w:autoSpaceDE/>
        <w:autoSpaceDN/>
        <w:bidi w:val="0"/>
        <w:adjustRightInd w:val="0"/>
        <w:snapToGrid w:val="0"/>
        <w:spacing w:before="0" w:beforeAutospacing="0" w:after="0" w:afterAutospacing="0" w:line="56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6.推进文化体育和科技创新发展，推进文化体育和旅游行业信息化、标准化建设。</w:t>
      </w:r>
    </w:p>
    <w:p w14:paraId="7CBB2DDA">
      <w:pPr>
        <w:pStyle w:val="15"/>
        <w:keepNext w:val="0"/>
        <w:keepLines w:val="0"/>
        <w:pageBreakBefore w:val="0"/>
        <w:kinsoku/>
        <w:wordWrap/>
        <w:overflowPunct/>
        <w:topLinePunct w:val="0"/>
        <w:autoSpaceDE/>
        <w:autoSpaceDN/>
        <w:bidi w:val="0"/>
        <w:adjustRightInd w:val="0"/>
        <w:snapToGrid w:val="0"/>
        <w:spacing w:before="0" w:beforeAutospacing="0" w:after="0" w:afterAutospacing="0" w:line="56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7.负责非物质文化遗产保护，推动非物质文化遗产的保护、传承、普及、弘扬和振兴。</w:t>
      </w:r>
    </w:p>
    <w:p w14:paraId="7B8348CF">
      <w:pPr>
        <w:pStyle w:val="15"/>
        <w:keepNext w:val="0"/>
        <w:keepLines w:val="0"/>
        <w:pageBreakBefore w:val="0"/>
        <w:kinsoku/>
        <w:wordWrap/>
        <w:overflowPunct/>
        <w:topLinePunct w:val="0"/>
        <w:autoSpaceDE/>
        <w:autoSpaceDN/>
        <w:bidi w:val="0"/>
        <w:adjustRightInd w:val="0"/>
        <w:snapToGrid w:val="0"/>
        <w:spacing w:before="0" w:beforeAutospacing="0" w:after="0" w:afterAutospacing="0" w:line="56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8.组织实施文化和旅游资源普查、挖掘、保护与利用工作，培育和管理体育市场，促进文化体育和旅游产业发展。</w:t>
      </w:r>
    </w:p>
    <w:p w14:paraId="1613FFA2">
      <w:pPr>
        <w:pStyle w:val="15"/>
        <w:keepNext w:val="0"/>
        <w:keepLines w:val="0"/>
        <w:pageBreakBefore w:val="0"/>
        <w:kinsoku/>
        <w:wordWrap/>
        <w:overflowPunct/>
        <w:topLinePunct w:val="0"/>
        <w:autoSpaceDE/>
        <w:autoSpaceDN/>
        <w:bidi w:val="0"/>
        <w:adjustRightInd w:val="0"/>
        <w:snapToGrid w:val="0"/>
        <w:spacing w:before="0" w:beforeAutospacing="0" w:after="0" w:afterAutospacing="0" w:line="56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9.指导文化体育和旅游、广播电视市场发展，对市场经营进行行业监管，维护市场秩序，推进文化旅游和广播电视行业信用体系建设，依法规范文化体育旅游和广播电视市场；规范体育服务管理，推动体育标准化建设，协调、指导全区体育彩票销售工作。</w:t>
      </w:r>
    </w:p>
    <w:p w14:paraId="0DF559F1">
      <w:pPr>
        <w:pStyle w:val="15"/>
        <w:keepNext w:val="0"/>
        <w:keepLines w:val="0"/>
        <w:pageBreakBefore w:val="0"/>
        <w:kinsoku/>
        <w:wordWrap/>
        <w:overflowPunct/>
        <w:topLinePunct w:val="0"/>
        <w:autoSpaceDE/>
        <w:autoSpaceDN/>
        <w:bidi w:val="0"/>
        <w:adjustRightInd w:val="0"/>
        <w:snapToGrid w:val="0"/>
        <w:spacing w:before="0" w:beforeAutospacing="0" w:after="0" w:afterAutospacing="0" w:line="56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10.负责管理文化、体育、旅游、广播电视和文物对外交流合作与宣传推广工作；组织大型文化、体育、旅游、广播电视、文物对外交流活动。</w:t>
      </w:r>
    </w:p>
    <w:p w14:paraId="0047A1AF">
      <w:pPr>
        <w:pStyle w:val="15"/>
        <w:keepNext w:val="0"/>
        <w:keepLines w:val="0"/>
        <w:pageBreakBefore w:val="0"/>
        <w:kinsoku/>
        <w:wordWrap/>
        <w:overflowPunct/>
        <w:topLinePunct w:val="0"/>
        <w:autoSpaceDE/>
        <w:autoSpaceDN/>
        <w:bidi w:val="0"/>
        <w:adjustRightInd w:val="0"/>
        <w:snapToGrid w:val="0"/>
        <w:spacing w:before="0" w:beforeAutospacing="0" w:after="0" w:afterAutospacing="0" w:line="56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11.统筹规划全区群众体育发展，负责推行全民健身计划，监督实施国家体育锻炼标准，推动全区国民体质监测和社会体育指导工作队伍制度建设，指导公共体育设施的建设，负责对公共体育设施的监督管理；指导全区体育场馆规划建设、维修改造及开发工作；规范体育服务管理，推动体育标准化建设。</w:t>
      </w:r>
    </w:p>
    <w:p w14:paraId="611D2807">
      <w:pPr>
        <w:pStyle w:val="15"/>
        <w:keepNext w:val="0"/>
        <w:keepLines w:val="0"/>
        <w:pageBreakBefore w:val="0"/>
        <w:kinsoku/>
        <w:wordWrap/>
        <w:overflowPunct/>
        <w:topLinePunct w:val="0"/>
        <w:autoSpaceDE/>
        <w:autoSpaceDN/>
        <w:bidi w:val="0"/>
        <w:adjustRightInd w:val="0"/>
        <w:snapToGrid w:val="0"/>
        <w:spacing w:before="0" w:beforeAutospacing="0" w:after="0" w:afterAutospacing="0" w:line="56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12.统筹规划全区竞技体育发展，指导体育训练、体育竞赛和运动员队伍建设，负责组织协调各级综合性运动会的竞赛工作，协调运动员社会保障工作。</w:t>
      </w:r>
    </w:p>
    <w:p w14:paraId="721B0677">
      <w:pPr>
        <w:pStyle w:val="15"/>
        <w:keepNext w:val="0"/>
        <w:keepLines w:val="0"/>
        <w:pageBreakBefore w:val="0"/>
        <w:kinsoku/>
        <w:wordWrap/>
        <w:overflowPunct/>
        <w:topLinePunct w:val="0"/>
        <w:autoSpaceDE/>
        <w:autoSpaceDN/>
        <w:bidi w:val="0"/>
        <w:adjustRightInd w:val="0"/>
        <w:snapToGrid w:val="0"/>
        <w:spacing w:before="0" w:beforeAutospacing="0" w:after="0" w:afterAutospacing="0" w:line="56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13.统筹规划全区青少年体育发展，指导和推进青少年体育工作；指导实施国家学生健康体质测试工作。</w:t>
      </w:r>
    </w:p>
    <w:p w14:paraId="5DCBFFF1">
      <w:pPr>
        <w:pStyle w:val="15"/>
        <w:keepNext w:val="0"/>
        <w:keepLines w:val="0"/>
        <w:pageBreakBefore w:val="0"/>
        <w:kinsoku/>
        <w:wordWrap/>
        <w:overflowPunct/>
        <w:topLinePunct w:val="0"/>
        <w:autoSpaceDE/>
        <w:autoSpaceDN/>
        <w:bidi w:val="0"/>
        <w:adjustRightInd w:val="0"/>
        <w:snapToGrid w:val="0"/>
        <w:spacing w:before="0" w:beforeAutospacing="0" w:after="0" w:afterAutospacing="0" w:line="56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14.组织实施广播电视节目评价工作；监督管理、审查广播电视和网络视听节目的内容及质量；指导、监督广播电视广告播放。</w:t>
      </w:r>
    </w:p>
    <w:p w14:paraId="56389738">
      <w:pPr>
        <w:pStyle w:val="15"/>
        <w:keepNext w:val="0"/>
        <w:keepLines w:val="0"/>
        <w:pageBreakBefore w:val="0"/>
        <w:kinsoku/>
        <w:wordWrap/>
        <w:overflowPunct/>
        <w:topLinePunct w:val="0"/>
        <w:autoSpaceDE/>
        <w:autoSpaceDN/>
        <w:bidi w:val="0"/>
        <w:adjustRightInd w:val="0"/>
        <w:snapToGrid w:val="0"/>
        <w:spacing w:before="0" w:beforeAutospacing="0" w:after="0" w:afterAutospacing="0" w:line="56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15.拟订全区广播电视科技发展规划，指导、监督实施行业技术标准；负责广播电视节目传输覆盖、监测和安全播出的监督管理，指导、推进应急广播体系建设；推进广播电视与新媒体新技术新业态融合发展，推进广电网与电信网、互联网三网融合。</w:t>
      </w:r>
    </w:p>
    <w:p w14:paraId="374F720E">
      <w:pPr>
        <w:pStyle w:val="15"/>
        <w:keepNext w:val="0"/>
        <w:keepLines w:val="0"/>
        <w:pageBreakBefore w:val="0"/>
        <w:kinsoku/>
        <w:wordWrap/>
        <w:overflowPunct/>
        <w:topLinePunct w:val="0"/>
        <w:autoSpaceDE/>
        <w:autoSpaceDN/>
        <w:bidi w:val="0"/>
        <w:adjustRightInd w:val="0"/>
        <w:snapToGrid w:val="0"/>
        <w:spacing w:before="0" w:beforeAutospacing="0" w:after="0" w:afterAutospacing="0" w:line="56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16.管理和指导全区文物保护利用与考古工作；组织文物资源调查；负责组织遴选、申报区级以上文物保护单位；组织协调重大文物保护、考古项目的实施。协调、指导基本建设涉及文物保护相关工作；组织指导文物保护宣传工作；协调、指导和监督全区文物安全工作；履行文物行政督察职责。</w:t>
      </w:r>
    </w:p>
    <w:p w14:paraId="0271AD8A">
      <w:pPr>
        <w:pStyle w:val="15"/>
        <w:keepNext w:val="0"/>
        <w:keepLines w:val="0"/>
        <w:pageBreakBefore w:val="0"/>
        <w:kinsoku/>
        <w:wordWrap/>
        <w:overflowPunct/>
        <w:topLinePunct w:val="0"/>
        <w:autoSpaceDE/>
        <w:autoSpaceDN/>
        <w:bidi w:val="0"/>
        <w:adjustRightInd w:val="0"/>
        <w:snapToGrid w:val="0"/>
        <w:spacing w:before="0" w:beforeAutospacing="0" w:after="0" w:afterAutospacing="0" w:line="56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17.负责对全区文化遗产保护和管理的监督工作，组织开展文化遗产等申报工作。</w:t>
      </w:r>
    </w:p>
    <w:p w14:paraId="73FCBEBA">
      <w:pPr>
        <w:pStyle w:val="15"/>
        <w:keepNext w:val="0"/>
        <w:keepLines w:val="0"/>
        <w:pageBreakBefore w:val="0"/>
        <w:kinsoku/>
        <w:wordWrap/>
        <w:overflowPunct/>
        <w:topLinePunct w:val="0"/>
        <w:autoSpaceDE/>
        <w:autoSpaceDN/>
        <w:bidi w:val="0"/>
        <w:adjustRightInd w:val="0"/>
        <w:snapToGrid w:val="0"/>
        <w:spacing w:before="0" w:beforeAutospacing="0" w:after="0" w:afterAutospacing="0" w:line="56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18.负责推动完善全区文物和博物馆公共服务体系建设；指导博物馆建设管理和社会文物管理工作；组织指导文物和博物馆领域重大科研项目、科技保护、标准化建设；推动装备技术提升。</w:t>
      </w:r>
    </w:p>
    <w:p w14:paraId="46CAD5D5">
      <w:pPr>
        <w:pStyle w:val="15"/>
        <w:keepNext w:val="0"/>
        <w:keepLines w:val="0"/>
        <w:pageBreakBefore w:val="0"/>
        <w:kinsoku/>
        <w:wordWrap/>
        <w:overflowPunct/>
        <w:topLinePunct w:val="0"/>
        <w:autoSpaceDE/>
        <w:autoSpaceDN/>
        <w:bidi w:val="0"/>
        <w:adjustRightInd w:val="0"/>
        <w:snapToGrid w:val="0"/>
        <w:spacing w:before="0" w:beforeAutospacing="0" w:after="0" w:afterAutospacing="0" w:line="56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19.负责职责范围内的安全生产和职业健康、生态环境保护等工作；按照行政审批、综合执法等方面的相关要求，做好有关工作。</w:t>
      </w:r>
    </w:p>
    <w:p w14:paraId="7C4328E2">
      <w:pPr>
        <w:pStyle w:val="15"/>
        <w:keepNext w:val="0"/>
        <w:keepLines w:val="0"/>
        <w:pageBreakBefore w:val="0"/>
        <w:kinsoku/>
        <w:wordWrap/>
        <w:overflowPunct/>
        <w:topLinePunct w:val="0"/>
        <w:autoSpaceDE/>
        <w:autoSpaceDN/>
        <w:bidi w:val="0"/>
        <w:adjustRightInd w:val="0"/>
        <w:snapToGrid w:val="0"/>
        <w:spacing w:before="0" w:beforeAutospacing="0" w:after="0" w:afterAutospacing="0" w:line="56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20.完成区委、区政府交办的其他任务。</w:t>
      </w:r>
    </w:p>
    <w:p w14:paraId="7C90C0C3">
      <w:pPr>
        <w:pStyle w:val="15"/>
        <w:keepNext w:val="0"/>
        <w:keepLines w:val="0"/>
        <w:pageBreakBefore w:val="0"/>
        <w:kinsoku/>
        <w:wordWrap/>
        <w:overflowPunct/>
        <w:topLinePunct w:val="0"/>
        <w:autoSpaceDE/>
        <w:autoSpaceDN/>
        <w:bidi w:val="0"/>
        <w:adjustRightInd w:val="0"/>
        <w:snapToGrid w:val="0"/>
        <w:spacing w:before="0" w:beforeAutospacing="0" w:after="0" w:afterAutospacing="0" w:line="560" w:lineRule="exact"/>
        <w:ind w:firstLine="640" w:firstLineChars="200"/>
        <w:jc w:val="both"/>
        <w:textAlignment w:val="auto"/>
        <w:rPr>
          <w:rFonts w:hint="eastAsia" w:ascii="仿宋_GB2312" w:hAnsi="仿宋_GB2312" w:eastAsia="仿宋_GB2312" w:cs="仿宋_GB2312"/>
          <w:b/>
          <w:bCs/>
          <w:color w:val="000000"/>
          <w:kern w:val="0"/>
          <w:sz w:val="32"/>
          <w:szCs w:val="32"/>
          <w:highlight w:val="none"/>
          <w:shd w:val="clear" w:color="auto" w:fill="FFFFFF"/>
          <w:lang w:val="zh-CN"/>
        </w:rPr>
      </w:pPr>
      <w:r>
        <w:rPr>
          <w:rFonts w:hint="eastAsia" w:ascii="仿宋_GB2312" w:hAnsi="仿宋_GB2312" w:eastAsia="仿宋_GB2312" w:cs="仿宋_GB2312"/>
          <w:sz w:val="32"/>
          <w:szCs w:val="32"/>
        </w:rPr>
        <w:t>21.职能转变。以人民对美好生活的向往为引导，统筹推进文化体育事业、文化体育产业和旅游业融合发展；用好文化创意、科技创新和社会投资等新动能，促进文化体育和旅游与相关产业融合发展；坚持“绿色发展、美丽崛起”发展主线，强化“旅游主导”地位，加快建设世界重要旅游目的地增长极。</w:t>
      </w:r>
    </w:p>
    <w:p w14:paraId="59114993">
      <w:pPr>
        <w:pStyle w:val="15"/>
        <w:keepNext w:val="0"/>
        <w:keepLines w:val="0"/>
        <w:pageBreakBefore w:val="0"/>
        <w:kinsoku/>
        <w:wordWrap/>
        <w:overflowPunct/>
        <w:topLinePunct w:val="0"/>
        <w:autoSpaceDE/>
        <w:autoSpaceDN/>
        <w:bidi w:val="0"/>
        <w:adjustRightInd w:val="0"/>
        <w:snapToGrid w:val="0"/>
        <w:spacing w:before="0" w:beforeAutospacing="0" w:after="0" w:afterAutospacing="0" w:line="560" w:lineRule="exact"/>
        <w:ind w:firstLine="643" w:firstLineChars="200"/>
        <w:jc w:val="both"/>
        <w:textAlignment w:val="auto"/>
        <w:rPr>
          <w:rFonts w:hint="eastAsia" w:ascii="仿宋_GB2312" w:hAnsi="仿宋_GB2312" w:eastAsia="仿宋_GB2312" w:cs="仿宋_GB2312"/>
          <w:sz w:val="32"/>
          <w:szCs w:val="32"/>
        </w:rPr>
      </w:pPr>
      <w:r>
        <w:rPr>
          <w:rFonts w:hint="default" w:ascii="Times New Roman" w:hAnsi="Times New Roman" w:eastAsia="楷体_GB2312" w:cs="Times New Roman"/>
          <w:b/>
          <w:bCs/>
          <w:color w:val="000000"/>
          <w:kern w:val="0"/>
          <w:sz w:val="32"/>
          <w:szCs w:val="32"/>
          <w:highlight w:val="none"/>
          <w:shd w:val="clear" w:color="auto" w:fill="FFFFFF"/>
          <w:lang w:val="zh-CN"/>
        </w:rPr>
        <w:t>（</w:t>
      </w:r>
      <w:r>
        <w:rPr>
          <w:rFonts w:hint="eastAsia" w:ascii="Times New Roman" w:hAnsi="Times New Roman" w:eastAsia="楷体_GB2312" w:cs="Times New Roman"/>
          <w:b/>
          <w:bCs/>
          <w:color w:val="000000"/>
          <w:kern w:val="0"/>
          <w:sz w:val="32"/>
          <w:szCs w:val="32"/>
          <w:highlight w:val="none"/>
          <w:shd w:val="clear" w:color="auto" w:fill="FFFFFF"/>
          <w:lang w:val="zh-CN"/>
        </w:rPr>
        <w:t>三</w:t>
      </w:r>
      <w:r>
        <w:rPr>
          <w:rFonts w:hint="default" w:ascii="Times New Roman" w:hAnsi="Times New Roman" w:eastAsia="楷体_GB2312" w:cs="Times New Roman"/>
          <w:b/>
          <w:bCs/>
          <w:color w:val="000000"/>
          <w:kern w:val="0"/>
          <w:sz w:val="32"/>
          <w:szCs w:val="32"/>
          <w:highlight w:val="none"/>
          <w:shd w:val="clear" w:color="auto" w:fill="FFFFFF"/>
          <w:lang w:val="zh-CN"/>
        </w:rPr>
        <w:t>）人员概况</w:t>
      </w:r>
      <w:r>
        <w:rPr>
          <w:rFonts w:hint="eastAsia" w:ascii="Times New Roman" w:hAnsi="Times New Roman" w:eastAsia="楷体_GB2312" w:cs="Times New Roman"/>
          <w:b/>
          <w:bCs/>
          <w:color w:val="000000"/>
          <w:kern w:val="0"/>
          <w:sz w:val="32"/>
          <w:szCs w:val="32"/>
          <w:highlight w:val="none"/>
          <w:shd w:val="clear" w:color="auto" w:fill="FFFFFF"/>
          <w:lang w:val="zh-CN"/>
        </w:rPr>
        <w:t>。</w:t>
      </w:r>
      <w:r>
        <w:rPr>
          <w:rFonts w:hint="eastAsia" w:ascii="仿宋_GB2312" w:hAnsi="仿宋_GB2312" w:eastAsia="仿宋_GB2312" w:cs="仿宋_GB2312"/>
          <w:sz w:val="32"/>
          <w:szCs w:val="32"/>
          <w:lang w:val="en-US" w:eastAsia="zh-CN"/>
        </w:rPr>
        <w:t>截至2024年末，</w:t>
      </w:r>
      <w:r>
        <w:rPr>
          <w:rFonts w:hint="eastAsia" w:ascii="仿宋_GB2312" w:hAnsi="仿宋_GB2312" w:eastAsia="仿宋_GB2312" w:cs="仿宋_GB2312"/>
          <w:sz w:val="32"/>
          <w:szCs w:val="32"/>
        </w:rPr>
        <w:t>乐山市金口河区文化广播电视体育和旅游局总编制</w:t>
      </w:r>
      <w:r>
        <w:rPr>
          <w:rFonts w:hint="eastAsia" w:ascii="仿宋_GB2312" w:hAnsi="仿宋_GB2312" w:eastAsia="仿宋_GB2312" w:cs="仿宋_GB2312"/>
          <w:sz w:val="32"/>
          <w:szCs w:val="32"/>
          <w:lang w:val="en-US" w:eastAsia="zh-CN"/>
        </w:rPr>
        <w:t>30</w:t>
      </w:r>
      <w:r>
        <w:rPr>
          <w:rFonts w:hint="eastAsia" w:ascii="仿宋_GB2312" w:hAnsi="仿宋_GB2312" w:eastAsia="仿宋_GB2312" w:cs="仿宋_GB2312"/>
          <w:sz w:val="32"/>
          <w:szCs w:val="32"/>
        </w:rPr>
        <w:t>名，其中：行政编制6名，工勤编制1名，事业编制2</w:t>
      </w: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名。在职人员总数2</w:t>
      </w:r>
      <w:r>
        <w:rPr>
          <w:rFonts w:hint="eastAsia" w:ascii="仿宋_GB2312" w:hAnsi="仿宋_GB2312" w:eastAsia="仿宋_GB2312" w:cs="仿宋_GB2312"/>
          <w:sz w:val="32"/>
          <w:szCs w:val="32"/>
          <w:lang w:val="en-US" w:eastAsia="zh-CN"/>
        </w:rPr>
        <w:t>6</w:t>
      </w:r>
      <w:r>
        <w:rPr>
          <w:rFonts w:hint="eastAsia" w:ascii="仿宋_GB2312" w:hAnsi="仿宋_GB2312" w:eastAsia="仿宋_GB2312" w:cs="仿宋_GB2312"/>
          <w:sz w:val="32"/>
          <w:szCs w:val="32"/>
        </w:rPr>
        <w:t>名，其中：行政4名，工勤3名，事业</w:t>
      </w:r>
      <w:r>
        <w:rPr>
          <w:rFonts w:hint="eastAsia" w:ascii="仿宋_GB2312" w:hAnsi="仿宋_GB2312" w:eastAsia="仿宋_GB2312" w:cs="仿宋_GB2312"/>
          <w:sz w:val="32"/>
          <w:szCs w:val="32"/>
          <w:lang w:val="en-US" w:eastAsia="zh-CN"/>
        </w:rPr>
        <w:t>19</w:t>
      </w:r>
      <w:r>
        <w:rPr>
          <w:rFonts w:hint="eastAsia" w:ascii="仿宋_GB2312" w:hAnsi="仿宋_GB2312" w:eastAsia="仿宋_GB2312" w:cs="仿宋_GB2312"/>
          <w:sz w:val="32"/>
          <w:szCs w:val="32"/>
        </w:rPr>
        <w:t>名。退休11名，离休0名。实际在编在岗人员</w:t>
      </w:r>
      <w:r>
        <w:rPr>
          <w:rFonts w:hint="eastAsia" w:ascii="仿宋_GB2312" w:hAnsi="仿宋_GB2312" w:eastAsia="仿宋_GB2312" w:cs="仿宋_GB2312"/>
          <w:sz w:val="32"/>
          <w:szCs w:val="32"/>
          <w:lang w:val="en-US" w:eastAsia="zh-CN"/>
        </w:rPr>
        <w:t>23</w:t>
      </w:r>
      <w:r>
        <w:rPr>
          <w:rFonts w:hint="eastAsia" w:ascii="仿宋_GB2312" w:hAnsi="仿宋_GB2312" w:eastAsia="仿宋_GB2312" w:cs="仿宋_GB2312"/>
          <w:sz w:val="32"/>
          <w:szCs w:val="32"/>
        </w:rPr>
        <w:t>人，编外人员及志愿者</w:t>
      </w:r>
      <w:r>
        <w:rPr>
          <w:rFonts w:hint="eastAsia" w:ascii="仿宋_GB2312" w:hAnsi="仿宋_GB2312" w:eastAsia="仿宋_GB2312" w:cs="仿宋_GB2312"/>
          <w:sz w:val="32"/>
          <w:szCs w:val="32"/>
          <w:lang w:val="en-US" w:eastAsia="zh-CN"/>
        </w:rPr>
        <w:t>7</w:t>
      </w:r>
      <w:r>
        <w:rPr>
          <w:rFonts w:hint="eastAsia" w:ascii="仿宋_GB2312" w:hAnsi="仿宋_GB2312" w:eastAsia="仿宋_GB2312" w:cs="仿宋_GB2312"/>
          <w:sz w:val="32"/>
          <w:szCs w:val="32"/>
        </w:rPr>
        <w:t>人，共计</w:t>
      </w:r>
      <w:r>
        <w:rPr>
          <w:rFonts w:hint="eastAsia" w:ascii="仿宋_GB2312" w:hAnsi="仿宋_GB2312" w:eastAsia="仿宋_GB2312" w:cs="仿宋_GB2312"/>
          <w:sz w:val="32"/>
          <w:szCs w:val="32"/>
          <w:lang w:val="en-US" w:eastAsia="zh-CN"/>
        </w:rPr>
        <w:t>30</w:t>
      </w:r>
      <w:r>
        <w:rPr>
          <w:rFonts w:hint="eastAsia" w:ascii="仿宋_GB2312" w:hAnsi="仿宋_GB2312" w:eastAsia="仿宋_GB2312" w:cs="仿宋_GB2312"/>
          <w:sz w:val="32"/>
          <w:szCs w:val="32"/>
        </w:rPr>
        <w:t>人。</w:t>
      </w:r>
    </w:p>
    <w:p w14:paraId="52136C2C">
      <w:pPr>
        <w:keepNext w:val="0"/>
        <w:keepLines w:val="0"/>
        <w:pageBreakBefore w:val="0"/>
        <w:widowControl/>
        <w:numPr>
          <w:ilvl w:val="0"/>
          <w:numId w:val="0"/>
        </w:numPr>
        <w:kinsoku/>
        <w:wordWrap/>
        <w:overflowPunct/>
        <w:topLinePunct w:val="0"/>
        <w:autoSpaceDE/>
        <w:autoSpaceDN/>
        <w:bidi w:val="0"/>
        <w:adjustRightInd w:val="0"/>
        <w:snapToGrid w:val="0"/>
        <w:spacing w:line="560" w:lineRule="exact"/>
        <w:ind w:firstLine="640" w:firstLineChars="200"/>
        <w:contextualSpacing/>
        <w:jc w:val="both"/>
        <w:textAlignment w:val="auto"/>
        <w:outlineLvl w:val="9"/>
        <w:rPr>
          <w:rFonts w:hint="default" w:ascii="Times New Roman" w:hAnsi="Times New Roman" w:eastAsia="黑体" w:cs="Times New Roman"/>
          <w:color w:val="000000"/>
          <w:kern w:val="0"/>
          <w:sz w:val="32"/>
          <w:szCs w:val="32"/>
          <w:highlight w:val="none"/>
          <w:shd w:val="clear" w:color="auto" w:fill="FFFFFF"/>
          <w:lang w:val="zh-CN" w:eastAsia="zh-CN"/>
        </w:rPr>
      </w:pPr>
      <w:r>
        <w:rPr>
          <w:rFonts w:hint="default" w:ascii="Times New Roman" w:hAnsi="Times New Roman" w:eastAsia="黑体" w:cs="Times New Roman"/>
          <w:color w:val="000000"/>
          <w:kern w:val="0"/>
          <w:sz w:val="32"/>
          <w:szCs w:val="32"/>
          <w:highlight w:val="none"/>
          <w:shd w:val="clear" w:color="auto" w:fill="FFFFFF"/>
          <w:lang w:val="zh-CN" w:eastAsia="zh-CN"/>
        </w:rPr>
        <w:t>二、部门资金收支情况</w:t>
      </w:r>
    </w:p>
    <w:p w14:paraId="28597A5A">
      <w:pPr>
        <w:keepNext w:val="0"/>
        <w:keepLines w:val="0"/>
        <w:pageBreakBefore w:val="0"/>
        <w:widowControl/>
        <w:kinsoku/>
        <w:wordWrap/>
        <w:overflowPunct/>
        <w:topLinePunct w:val="0"/>
        <w:autoSpaceDE/>
        <w:autoSpaceDN/>
        <w:bidi w:val="0"/>
        <w:adjustRightInd w:val="0"/>
        <w:snapToGrid w:val="0"/>
        <w:spacing w:line="560" w:lineRule="exact"/>
        <w:ind w:firstLine="643" w:firstLineChars="200"/>
        <w:contextualSpacing/>
        <w:jc w:val="both"/>
        <w:textAlignment w:val="auto"/>
        <w:outlineLvl w:val="9"/>
        <w:rPr>
          <w:rFonts w:hint="eastAsia" w:ascii="仿宋_GB2312" w:hAnsi="仿宋_GB2312" w:eastAsia="仿宋_GB2312" w:cs="仿宋_GB2312"/>
          <w:sz w:val="32"/>
          <w:szCs w:val="32"/>
          <w:lang w:val="en-US" w:eastAsia="zh-CN"/>
        </w:rPr>
      </w:pPr>
      <w:r>
        <w:rPr>
          <w:rFonts w:hint="default" w:ascii="Times New Roman" w:hAnsi="Times New Roman" w:eastAsia="楷体_GB2312" w:cs="Times New Roman"/>
          <w:b/>
          <w:bCs/>
          <w:color w:val="000000"/>
          <w:kern w:val="0"/>
          <w:sz w:val="32"/>
          <w:szCs w:val="32"/>
          <w:highlight w:val="none"/>
          <w:shd w:val="clear" w:color="auto" w:fill="FFFFFF"/>
          <w:lang w:val="zh-CN"/>
        </w:rPr>
        <w:t>（一）</w:t>
      </w:r>
      <w:r>
        <w:rPr>
          <w:rFonts w:hint="eastAsia" w:ascii="Times New Roman" w:hAnsi="Times New Roman" w:eastAsia="楷体_GB2312" w:cs="Times New Roman"/>
          <w:b/>
          <w:bCs/>
          <w:color w:val="000000"/>
          <w:kern w:val="0"/>
          <w:sz w:val="32"/>
          <w:szCs w:val="32"/>
          <w:highlight w:val="none"/>
          <w:shd w:val="clear" w:color="auto" w:fill="FFFFFF"/>
          <w:lang w:val="zh-CN"/>
        </w:rPr>
        <w:t>收入情况</w:t>
      </w:r>
      <w:r>
        <w:rPr>
          <w:rFonts w:hint="default" w:ascii="Times New Roman" w:hAnsi="Times New Roman" w:eastAsia="楷体_GB2312" w:cs="Times New Roman"/>
          <w:b/>
          <w:bCs/>
          <w:color w:val="000000"/>
          <w:kern w:val="0"/>
          <w:sz w:val="32"/>
          <w:szCs w:val="32"/>
          <w:highlight w:val="none"/>
          <w:shd w:val="clear" w:color="auto" w:fill="FFFFFF"/>
          <w:lang w:val="zh-CN"/>
        </w:rPr>
        <w:t>。</w:t>
      </w:r>
      <w:r>
        <w:rPr>
          <w:rFonts w:hint="eastAsia" w:ascii="仿宋_GB2312" w:hAnsi="仿宋_GB2312" w:eastAsia="仿宋_GB2312" w:cs="仿宋_GB2312"/>
          <w:sz w:val="32"/>
          <w:szCs w:val="32"/>
        </w:rPr>
        <w:t>乐山市金口河区文化广播电视体育和旅游局202</w:t>
      </w: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rPr>
        <w:t>年年初预算收入</w:t>
      </w:r>
      <w:r>
        <w:rPr>
          <w:rFonts w:hint="eastAsia" w:ascii="仿宋_GB2312" w:hAnsi="仿宋_GB2312" w:eastAsia="仿宋_GB2312" w:cs="仿宋_GB2312"/>
          <w:sz w:val="32"/>
          <w:szCs w:val="32"/>
          <w:lang w:val="en-US" w:eastAsia="zh-CN"/>
        </w:rPr>
        <w:t>787.51</w:t>
      </w:r>
      <w:r>
        <w:rPr>
          <w:rFonts w:hint="eastAsia" w:ascii="仿宋_GB2312" w:hAnsi="仿宋_GB2312" w:eastAsia="仿宋_GB2312" w:cs="仿宋_GB2312"/>
          <w:sz w:val="32"/>
          <w:szCs w:val="32"/>
        </w:rPr>
        <w:t>万元，全年预算收入</w:t>
      </w:r>
      <w:r>
        <w:rPr>
          <w:rFonts w:hint="eastAsia" w:ascii="仿宋_GB2312" w:hAnsi="仿宋_GB2312" w:eastAsia="仿宋_GB2312" w:cs="仿宋_GB2312"/>
          <w:sz w:val="32"/>
          <w:szCs w:val="32"/>
          <w:lang w:val="en-US" w:eastAsia="zh-CN"/>
        </w:rPr>
        <w:t>1044.02</w:t>
      </w:r>
      <w:r>
        <w:rPr>
          <w:rFonts w:hint="eastAsia" w:ascii="仿宋_GB2312" w:hAnsi="仿宋_GB2312" w:eastAsia="仿宋_GB2312" w:cs="仿宋_GB2312"/>
          <w:sz w:val="32"/>
          <w:szCs w:val="32"/>
        </w:rPr>
        <w:t>万元，决算收入</w:t>
      </w:r>
      <w:r>
        <w:rPr>
          <w:rFonts w:hint="eastAsia" w:ascii="仿宋_GB2312" w:hAnsi="仿宋_GB2312" w:eastAsia="仿宋_GB2312" w:cs="仿宋_GB2312"/>
          <w:sz w:val="32"/>
          <w:szCs w:val="32"/>
          <w:lang w:val="en-US" w:eastAsia="zh-CN"/>
        </w:rPr>
        <w:t>1044.02</w:t>
      </w:r>
      <w:r>
        <w:rPr>
          <w:rFonts w:hint="eastAsia" w:ascii="仿宋_GB2312" w:hAnsi="仿宋_GB2312" w:eastAsia="仿宋_GB2312" w:cs="仿宋_GB2312"/>
          <w:sz w:val="32"/>
          <w:szCs w:val="32"/>
        </w:rPr>
        <w:t>万元，其中：一般公共预算财政拨款收入</w:t>
      </w:r>
      <w:r>
        <w:rPr>
          <w:rFonts w:hint="eastAsia" w:ascii="仿宋_GB2312" w:hAnsi="仿宋_GB2312" w:eastAsia="仿宋_GB2312" w:cs="仿宋_GB2312"/>
          <w:sz w:val="32"/>
          <w:szCs w:val="32"/>
          <w:lang w:val="en-US" w:eastAsia="zh-CN"/>
        </w:rPr>
        <w:t>983.90</w:t>
      </w:r>
      <w:r>
        <w:rPr>
          <w:rFonts w:hint="eastAsia" w:ascii="仿宋_GB2312" w:hAnsi="仿宋_GB2312" w:eastAsia="仿宋_GB2312" w:cs="仿宋_GB2312"/>
          <w:sz w:val="32"/>
          <w:szCs w:val="32"/>
        </w:rPr>
        <w:t>万元，占</w:t>
      </w:r>
      <w:r>
        <w:rPr>
          <w:rFonts w:hint="eastAsia" w:ascii="仿宋_GB2312" w:hAnsi="仿宋_GB2312" w:eastAsia="仿宋_GB2312" w:cs="仿宋_GB2312"/>
          <w:sz w:val="32"/>
          <w:szCs w:val="32"/>
          <w:lang w:val="en-US" w:eastAsia="zh-CN"/>
        </w:rPr>
        <w:t>94.24</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政府性基金预算财政拨款收入</w:t>
      </w:r>
      <w:r>
        <w:rPr>
          <w:rFonts w:hint="eastAsia" w:ascii="仿宋_GB2312" w:hAnsi="仿宋_GB2312" w:eastAsia="仿宋_GB2312" w:cs="仿宋_GB2312"/>
          <w:sz w:val="32"/>
          <w:szCs w:val="32"/>
          <w:lang w:val="en-US" w:eastAsia="zh-CN"/>
        </w:rPr>
        <w:t>44.73</w:t>
      </w:r>
      <w:r>
        <w:rPr>
          <w:rFonts w:hint="eastAsia" w:ascii="仿宋_GB2312" w:hAnsi="仿宋_GB2312" w:eastAsia="仿宋_GB2312" w:cs="仿宋_GB2312"/>
          <w:sz w:val="32"/>
          <w:szCs w:val="32"/>
        </w:rPr>
        <w:t>万元，占</w:t>
      </w:r>
      <w:r>
        <w:rPr>
          <w:rFonts w:hint="eastAsia" w:ascii="仿宋_GB2312" w:hAnsi="仿宋_GB2312" w:eastAsia="仿宋_GB2312" w:cs="仿宋_GB2312"/>
          <w:sz w:val="32"/>
          <w:szCs w:val="32"/>
          <w:lang w:val="en-US" w:eastAsia="zh-CN"/>
        </w:rPr>
        <w:t>4.28</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；其他收入</w:t>
      </w:r>
      <w:r>
        <w:rPr>
          <w:rFonts w:hint="eastAsia" w:ascii="仿宋_GB2312" w:hAnsi="仿宋_GB2312" w:eastAsia="仿宋_GB2312" w:cs="仿宋_GB2312"/>
          <w:sz w:val="32"/>
          <w:szCs w:val="32"/>
          <w:lang w:val="en-US" w:eastAsia="zh-CN"/>
        </w:rPr>
        <w:t>15.39万元，</w:t>
      </w:r>
      <w:r>
        <w:rPr>
          <w:rFonts w:hint="eastAsia" w:ascii="仿宋_GB2312" w:hAnsi="仿宋_GB2312" w:eastAsia="仿宋_GB2312" w:cs="仿宋_GB2312"/>
          <w:sz w:val="32"/>
          <w:szCs w:val="32"/>
        </w:rPr>
        <w:t>占</w:t>
      </w:r>
      <w:r>
        <w:rPr>
          <w:rFonts w:hint="eastAsia" w:ascii="仿宋_GB2312" w:hAnsi="仿宋_GB2312" w:eastAsia="仿宋_GB2312" w:cs="仿宋_GB2312"/>
          <w:sz w:val="32"/>
          <w:szCs w:val="32"/>
          <w:lang w:val="en-US" w:eastAsia="zh-CN"/>
        </w:rPr>
        <w:t>1.48</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w:t>
      </w:r>
    </w:p>
    <w:p w14:paraId="06A118F9">
      <w:pPr>
        <w:keepNext w:val="0"/>
        <w:keepLines w:val="0"/>
        <w:pageBreakBefore w:val="0"/>
        <w:widowControl/>
        <w:kinsoku/>
        <w:wordWrap/>
        <w:overflowPunct/>
        <w:topLinePunct w:val="0"/>
        <w:autoSpaceDE/>
        <w:autoSpaceDN/>
        <w:bidi w:val="0"/>
        <w:adjustRightInd w:val="0"/>
        <w:snapToGrid w:val="0"/>
        <w:spacing w:line="560" w:lineRule="exact"/>
        <w:ind w:firstLine="643" w:firstLineChars="200"/>
        <w:contextualSpacing/>
        <w:jc w:val="both"/>
        <w:textAlignment w:val="auto"/>
        <w:rPr>
          <w:rFonts w:hint="eastAsia" w:ascii="仿宋_GB2312" w:hAnsi="仿宋_GB2312" w:eastAsia="仿宋_GB2312" w:cs="仿宋_GB2312"/>
          <w:color w:val="auto"/>
          <w:kern w:val="2"/>
          <w:sz w:val="32"/>
          <w:szCs w:val="32"/>
          <w:highlight w:val="none"/>
          <w:lang w:val="zh-CN" w:eastAsia="zh-CN" w:bidi="ar-SA"/>
        </w:rPr>
      </w:pPr>
      <w:r>
        <w:rPr>
          <w:rFonts w:hint="default" w:ascii="Times New Roman" w:hAnsi="Times New Roman" w:eastAsia="楷体_GB2312" w:cs="Times New Roman"/>
          <w:b/>
          <w:bCs/>
          <w:color w:val="000000"/>
          <w:kern w:val="0"/>
          <w:sz w:val="32"/>
          <w:szCs w:val="32"/>
          <w:highlight w:val="none"/>
          <w:shd w:val="clear" w:color="auto" w:fill="FFFFFF"/>
          <w:lang w:val="zh-CN"/>
        </w:rPr>
        <w:t>（</w:t>
      </w:r>
      <w:r>
        <w:rPr>
          <w:rFonts w:hint="eastAsia" w:ascii="Times New Roman" w:hAnsi="Times New Roman" w:eastAsia="楷体_GB2312" w:cs="Times New Roman"/>
          <w:b/>
          <w:bCs/>
          <w:color w:val="000000"/>
          <w:kern w:val="0"/>
          <w:sz w:val="32"/>
          <w:szCs w:val="32"/>
          <w:highlight w:val="none"/>
          <w:shd w:val="clear" w:color="auto" w:fill="FFFFFF"/>
          <w:lang w:val="zh-CN"/>
        </w:rPr>
        <w:t>二</w:t>
      </w:r>
      <w:r>
        <w:rPr>
          <w:rFonts w:hint="default" w:ascii="Times New Roman" w:hAnsi="Times New Roman" w:eastAsia="楷体_GB2312" w:cs="Times New Roman"/>
          <w:b/>
          <w:bCs/>
          <w:color w:val="000000"/>
          <w:kern w:val="0"/>
          <w:sz w:val="32"/>
          <w:szCs w:val="32"/>
          <w:highlight w:val="none"/>
          <w:shd w:val="clear" w:color="auto" w:fill="FFFFFF"/>
          <w:lang w:val="zh-CN"/>
        </w:rPr>
        <w:t>）</w:t>
      </w:r>
      <w:r>
        <w:rPr>
          <w:rFonts w:hint="eastAsia" w:ascii="Times New Roman" w:hAnsi="Times New Roman" w:eastAsia="楷体_GB2312" w:cs="Times New Roman"/>
          <w:b/>
          <w:bCs/>
          <w:color w:val="000000"/>
          <w:kern w:val="0"/>
          <w:sz w:val="32"/>
          <w:szCs w:val="32"/>
          <w:highlight w:val="none"/>
          <w:shd w:val="clear" w:color="auto" w:fill="FFFFFF"/>
          <w:lang w:val="zh-CN"/>
        </w:rPr>
        <w:t>支出情况</w:t>
      </w:r>
      <w:r>
        <w:rPr>
          <w:rFonts w:hint="default" w:ascii="Times New Roman" w:hAnsi="Times New Roman" w:eastAsia="楷体_GB2312" w:cs="Times New Roman"/>
          <w:b/>
          <w:bCs/>
          <w:color w:val="000000"/>
          <w:kern w:val="0"/>
          <w:sz w:val="32"/>
          <w:szCs w:val="32"/>
          <w:highlight w:val="none"/>
          <w:shd w:val="clear" w:color="auto" w:fill="FFFFFF"/>
          <w:lang w:val="zh-CN"/>
        </w:rPr>
        <w:t>。</w:t>
      </w:r>
      <w:r>
        <w:rPr>
          <w:rFonts w:hint="eastAsia" w:ascii="仿宋_GB2312" w:hAnsi="仿宋_GB2312" w:eastAsia="仿宋_GB2312" w:cs="仿宋_GB2312"/>
          <w:color w:val="auto"/>
          <w:kern w:val="2"/>
          <w:sz w:val="32"/>
          <w:szCs w:val="32"/>
          <w:highlight w:val="none"/>
          <w:lang w:val="en-US" w:eastAsia="zh-CN" w:bidi="ar-SA"/>
        </w:rPr>
        <w:t>乐山市金口河区文化广播电视体育和旅游局2024年年初预算支出787.51万元，全年预算支出1044.02万元，决算支出1044.02万元。</w:t>
      </w:r>
    </w:p>
    <w:p w14:paraId="222B0F16">
      <w:pPr>
        <w:keepNext w:val="0"/>
        <w:keepLines w:val="0"/>
        <w:pageBreakBefore w:val="0"/>
        <w:widowControl/>
        <w:kinsoku/>
        <w:wordWrap/>
        <w:overflowPunct/>
        <w:topLinePunct w:val="0"/>
        <w:autoSpaceDE/>
        <w:autoSpaceDN/>
        <w:bidi w:val="0"/>
        <w:adjustRightInd w:val="0"/>
        <w:snapToGrid w:val="0"/>
        <w:spacing w:line="560" w:lineRule="exact"/>
        <w:ind w:firstLine="643" w:firstLineChars="200"/>
        <w:contextualSpacing/>
        <w:jc w:val="both"/>
        <w:textAlignment w:val="auto"/>
        <w:outlineLvl w:val="9"/>
        <w:rPr>
          <w:rFonts w:hint="eastAsia" w:ascii="仿宋_GB2312" w:hAnsi="仿宋_GB2312" w:eastAsia="仿宋_GB2312" w:cs="仿宋_GB2312"/>
          <w:b w:val="0"/>
          <w:bCs w:val="0"/>
          <w:color w:val="000000"/>
          <w:kern w:val="0"/>
          <w:sz w:val="32"/>
          <w:szCs w:val="32"/>
          <w:highlight w:val="none"/>
          <w:shd w:val="clear" w:color="auto" w:fill="FFFFFF"/>
          <w:lang w:val="zh-CN" w:eastAsia="zh-CN"/>
        </w:rPr>
      </w:pPr>
      <w:r>
        <w:rPr>
          <w:rFonts w:hint="default" w:ascii="Times New Roman" w:hAnsi="Times New Roman" w:eastAsia="楷体_GB2312" w:cs="Times New Roman"/>
          <w:b/>
          <w:bCs/>
          <w:color w:val="000000"/>
          <w:kern w:val="0"/>
          <w:sz w:val="32"/>
          <w:szCs w:val="32"/>
          <w:highlight w:val="none"/>
          <w:shd w:val="clear" w:color="auto" w:fill="FFFFFF"/>
          <w:lang w:val="zh-CN"/>
        </w:rPr>
        <w:t>（</w:t>
      </w:r>
      <w:r>
        <w:rPr>
          <w:rFonts w:hint="eastAsia" w:ascii="Times New Roman" w:hAnsi="Times New Roman" w:eastAsia="楷体_GB2312" w:cs="Times New Roman"/>
          <w:b/>
          <w:bCs/>
          <w:color w:val="000000"/>
          <w:kern w:val="0"/>
          <w:sz w:val="32"/>
          <w:szCs w:val="32"/>
          <w:highlight w:val="none"/>
          <w:shd w:val="clear" w:color="auto" w:fill="FFFFFF"/>
          <w:lang w:val="zh-CN"/>
        </w:rPr>
        <w:t>三</w:t>
      </w:r>
      <w:r>
        <w:rPr>
          <w:rFonts w:hint="default" w:ascii="Times New Roman" w:hAnsi="Times New Roman" w:eastAsia="楷体_GB2312" w:cs="Times New Roman"/>
          <w:b/>
          <w:bCs/>
          <w:color w:val="000000"/>
          <w:kern w:val="0"/>
          <w:sz w:val="32"/>
          <w:szCs w:val="32"/>
          <w:highlight w:val="none"/>
          <w:shd w:val="clear" w:color="auto" w:fill="FFFFFF"/>
          <w:lang w:val="zh-CN"/>
        </w:rPr>
        <w:t>）结余分配和结转结余情况</w:t>
      </w:r>
      <w:r>
        <w:rPr>
          <w:rFonts w:hint="eastAsia" w:ascii="Times New Roman" w:hAnsi="Times New Roman" w:eastAsia="楷体_GB2312" w:cs="Times New Roman"/>
          <w:b/>
          <w:bCs/>
          <w:color w:val="000000"/>
          <w:kern w:val="0"/>
          <w:sz w:val="32"/>
          <w:szCs w:val="32"/>
          <w:highlight w:val="none"/>
          <w:shd w:val="clear" w:color="auto" w:fill="FFFFFF"/>
          <w:lang w:val="zh-CN" w:eastAsia="zh-CN"/>
        </w:rPr>
        <w:t>。</w:t>
      </w:r>
      <w:r>
        <w:rPr>
          <w:rFonts w:hint="eastAsia" w:ascii="仿宋_GB2312" w:hAnsi="仿宋_GB2312" w:eastAsia="仿宋_GB2312" w:cs="仿宋_GB2312"/>
          <w:color w:val="auto"/>
          <w:kern w:val="2"/>
          <w:sz w:val="32"/>
          <w:szCs w:val="32"/>
          <w:highlight w:val="none"/>
          <w:lang w:val="en-US" w:eastAsia="zh-CN" w:bidi="ar-SA"/>
        </w:rPr>
        <w:t>乐山市金口河区文化广播电视体育和旅游局</w:t>
      </w:r>
      <w:r>
        <w:rPr>
          <w:rFonts w:hint="eastAsia" w:ascii="仿宋_GB2312" w:hAnsi="仿宋_GB2312" w:eastAsia="仿宋_GB2312" w:cs="仿宋_GB2312"/>
          <w:sz w:val="32"/>
          <w:szCs w:val="32"/>
          <w:lang w:val="en-US" w:eastAsia="zh-CN"/>
        </w:rPr>
        <w:t>2024年决算报表无结转结余。</w:t>
      </w:r>
    </w:p>
    <w:p w14:paraId="4A4A4813">
      <w:pPr>
        <w:keepNext w:val="0"/>
        <w:keepLines w:val="0"/>
        <w:pageBreakBefore w:val="0"/>
        <w:widowControl/>
        <w:numPr>
          <w:ilvl w:val="0"/>
          <w:numId w:val="0"/>
        </w:numPr>
        <w:kinsoku/>
        <w:wordWrap/>
        <w:overflowPunct/>
        <w:topLinePunct w:val="0"/>
        <w:autoSpaceDE/>
        <w:autoSpaceDN/>
        <w:bidi w:val="0"/>
        <w:adjustRightInd w:val="0"/>
        <w:snapToGrid w:val="0"/>
        <w:spacing w:line="560" w:lineRule="exact"/>
        <w:ind w:firstLine="640" w:firstLineChars="200"/>
        <w:contextualSpacing/>
        <w:jc w:val="both"/>
        <w:textAlignment w:val="auto"/>
        <w:outlineLvl w:val="9"/>
        <w:rPr>
          <w:rFonts w:hint="default" w:ascii="Times New Roman" w:hAnsi="Times New Roman" w:eastAsia="黑体" w:cs="Times New Roman"/>
          <w:color w:val="000000"/>
          <w:kern w:val="0"/>
          <w:sz w:val="32"/>
          <w:szCs w:val="32"/>
          <w:highlight w:val="none"/>
          <w:shd w:val="clear" w:color="auto" w:fill="FFFFFF"/>
          <w:lang w:val="zh-CN" w:eastAsia="zh-CN"/>
        </w:rPr>
      </w:pPr>
      <w:r>
        <w:rPr>
          <w:rFonts w:hint="default" w:ascii="Times New Roman" w:hAnsi="Times New Roman" w:eastAsia="黑体" w:cs="Times New Roman"/>
          <w:color w:val="000000"/>
          <w:kern w:val="0"/>
          <w:sz w:val="32"/>
          <w:szCs w:val="32"/>
          <w:highlight w:val="none"/>
          <w:shd w:val="clear" w:color="auto" w:fill="FFFFFF"/>
          <w:lang w:val="zh-CN" w:eastAsia="zh-CN"/>
        </w:rPr>
        <w:t>三、部门预算绩效分析</w:t>
      </w:r>
    </w:p>
    <w:p w14:paraId="2FB6DFD8">
      <w:pPr>
        <w:keepNext w:val="0"/>
        <w:keepLines w:val="0"/>
        <w:pageBreakBefore w:val="0"/>
        <w:widowControl/>
        <w:kinsoku/>
        <w:wordWrap/>
        <w:overflowPunct/>
        <w:topLinePunct w:val="0"/>
        <w:autoSpaceDE/>
        <w:autoSpaceDN/>
        <w:bidi w:val="0"/>
        <w:adjustRightInd w:val="0"/>
        <w:snapToGrid w:val="0"/>
        <w:spacing w:line="560" w:lineRule="exact"/>
        <w:ind w:firstLine="643" w:firstLineChars="200"/>
        <w:contextualSpacing/>
        <w:jc w:val="both"/>
        <w:textAlignment w:val="auto"/>
        <w:rPr>
          <w:rFonts w:hint="eastAsia" w:ascii="仿宋_GB2312" w:hAnsi="仿宋_GB2312" w:eastAsia="仿宋_GB2312" w:cs="仿宋_GB2312"/>
          <w:color w:val="auto"/>
          <w:kern w:val="2"/>
          <w:sz w:val="32"/>
          <w:szCs w:val="32"/>
          <w:highlight w:val="none"/>
          <w:lang w:val="zh-CN" w:eastAsia="zh-CN" w:bidi="ar-SA"/>
        </w:rPr>
      </w:pPr>
      <w:r>
        <w:rPr>
          <w:rFonts w:hint="default" w:ascii="Times New Roman" w:hAnsi="Times New Roman" w:eastAsia="楷体_GB2312" w:cs="Times New Roman"/>
          <w:b/>
          <w:bCs/>
          <w:color w:val="000000"/>
          <w:kern w:val="0"/>
          <w:sz w:val="32"/>
          <w:szCs w:val="32"/>
          <w:highlight w:val="none"/>
          <w:shd w:val="clear" w:color="auto" w:fill="FFFFFF"/>
          <w:lang w:val="zh-CN"/>
        </w:rPr>
        <w:t>（一）</w:t>
      </w:r>
      <w:r>
        <w:rPr>
          <w:rFonts w:hint="eastAsia" w:ascii="Times New Roman" w:hAnsi="Times New Roman" w:eastAsia="楷体_GB2312" w:cs="Times New Roman"/>
          <w:b/>
          <w:bCs/>
          <w:color w:val="000000"/>
          <w:kern w:val="0"/>
          <w:sz w:val="32"/>
          <w:szCs w:val="32"/>
          <w:highlight w:val="none"/>
          <w:shd w:val="clear" w:color="auto" w:fill="FFFFFF"/>
          <w:lang w:val="zh-CN"/>
        </w:rPr>
        <w:t>部门预算</w:t>
      </w:r>
      <w:r>
        <w:rPr>
          <w:rFonts w:hint="default" w:ascii="Times New Roman" w:hAnsi="Times New Roman" w:eastAsia="楷体_GB2312" w:cs="Times New Roman"/>
          <w:b/>
          <w:bCs/>
          <w:color w:val="000000"/>
          <w:kern w:val="0"/>
          <w:sz w:val="32"/>
          <w:szCs w:val="32"/>
          <w:highlight w:val="none"/>
          <w:shd w:val="clear" w:color="auto" w:fill="FFFFFF"/>
          <w:lang w:val="zh-CN"/>
        </w:rPr>
        <w:t>总体绩效分析。</w:t>
      </w:r>
      <w:r>
        <w:rPr>
          <w:rFonts w:hint="eastAsia" w:ascii="仿宋_GB2312" w:hAnsi="仿宋_GB2312" w:eastAsia="仿宋_GB2312" w:cs="仿宋_GB2312"/>
          <w:sz w:val="32"/>
          <w:szCs w:val="32"/>
        </w:rPr>
        <w:t>202</w:t>
      </w: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rPr>
        <w:t>年，区文体旅游局按相关规定加强预算管理，部门整体支出使用规范、程序透明，达到了预期目标，确保了机关的正常运行和各职能职责的正常履行，严格按照资金使用规定用途使用，并按要求开展绩效评价，提高资金使用绩效，保证了各项目标任务圆满完成。</w:t>
      </w:r>
    </w:p>
    <w:p w14:paraId="4BD44D9E">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firstLine="640" w:firstLineChars="200"/>
        <w:contextualSpacing/>
        <w:jc w:val="both"/>
        <w:textAlignment w:val="auto"/>
        <w:outlineLvl w:val="9"/>
        <w:rPr>
          <w:rFonts w:hint="eastAsia" w:ascii="仿宋_GB2312" w:hAnsi="仿宋_GB2312" w:eastAsia="仿宋_GB2312" w:cs="仿宋_GB2312"/>
          <w:color w:val="auto"/>
          <w:kern w:val="2"/>
          <w:sz w:val="32"/>
          <w:szCs w:val="32"/>
          <w:highlight w:val="none"/>
          <w:lang w:val="zh-CN" w:eastAsia="zh-CN" w:bidi="ar-SA"/>
        </w:rPr>
      </w:pPr>
      <w:r>
        <w:rPr>
          <w:rFonts w:hint="eastAsia" w:ascii="仿宋_GB2312" w:hAnsi="仿宋_GB2312" w:eastAsia="仿宋_GB2312" w:cs="仿宋_GB2312"/>
          <w:color w:val="auto"/>
          <w:kern w:val="2"/>
          <w:sz w:val="32"/>
          <w:szCs w:val="32"/>
          <w:highlight w:val="none"/>
          <w:lang w:val="en-US" w:eastAsia="zh-CN" w:bidi="ar-SA"/>
        </w:rPr>
        <w:t>1.</w:t>
      </w:r>
      <w:r>
        <w:rPr>
          <w:rFonts w:hint="eastAsia" w:ascii="仿宋_GB2312" w:hAnsi="仿宋_GB2312" w:eastAsia="仿宋_GB2312" w:cs="仿宋_GB2312"/>
          <w:color w:val="auto"/>
          <w:kern w:val="2"/>
          <w:sz w:val="32"/>
          <w:szCs w:val="32"/>
          <w:highlight w:val="none"/>
          <w:lang w:val="zh-CN" w:eastAsia="zh-CN" w:bidi="ar-SA"/>
        </w:rPr>
        <w:t>履职效能。</w:t>
      </w:r>
      <w:r>
        <w:rPr>
          <w:rFonts w:hint="eastAsia" w:ascii="仿宋_GB2312" w:hAnsi="仿宋_GB2312" w:eastAsia="仿宋_GB2312" w:cs="仿宋_GB2312"/>
          <w:color w:val="auto"/>
          <w:kern w:val="2"/>
          <w:sz w:val="32"/>
          <w:szCs w:val="32"/>
          <w:highlight w:val="none"/>
          <w:lang w:val="en-US" w:eastAsia="zh-CN" w:bidi="ar-SA"/>
        </w:rPr>
        <w:t>2024年，区文体旅游局按照</w:t>
      </w:r>
      <w:r>
        <w:rPr>
          <w:rFonts w:hint="eastAsia" w:ascii="仿宋_GB2312" w:hAnsi="仿宋_GB2312" w:eastAsia="仿宋_GB2312" w:cs="仿宋_GB2312"/>
          <w:color w:val="auto"/>
          <w:kern w:val="2"/>
          <w:sz w:val="32"/>
          <w:szCs w:val="32"/>
          <w:highlight w:val="none"/>
          <w:lang w:val="zh-CN" w:eastAsia="zh-CN" w:bidi="ar-SA"/>
        </w:rPr>
        <w:t>整体绩效目标任务，保质保量的履行了部门核心职责，绝大部分工作任务和项目均能有序推进和完成，保证了各项工作的连贯性和整体效率，有效提升了公共服务水平，促进了相关领域的发展，基本实现了预期的政策目标和长期规划。</w:t>
      </w:r>
    </w:p>
    <w:p w14:paraId="459B2AC5">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firstLine="640" w:firstLineChars="200"/>
        <w:contextualSpacing/>
        <w:jc w:val="both"/>
        <w:textAlignment w:val="auto"/>
        <w:outlineLvl w:val="9"/>
        <w:rPr>
          <w:rFonts w:hint="eastAsia" w:ascii="仿宋_GB2312" w:hAnsi="仿宋_GB2312" w:eastAsia="仿宋_GB2312" w:cs="仿宋_GB2312"/>
          <w:color w:val="auto"/>
          <w:kern w:val="2"/>
          <w:sz w:val="32"/>
          <w:szCs w:val="32"/>
          <w:highlight w:val="none"/>
          <w:lang w:val="zh-CN" w:eastAsia="zh-CN" w:bidi="ar-SA"/>
        </w:rPr>
      </w:pPr>
      <w:r>
        <w:rPr>
          <w:rFonts w:hint="eastAsia" w:ascii="仿宋_GB2312" w:hAnsi="仿宋_GB2312" w:eastAsia="仿宋_GB2312" w:cs="仿宋_GB2312"/>
          <w:color w:val="auto"/>
          <w:kern w:val="2"/>
          <w:sz w:val="32"/>
          <w:szCs w:val="32"/>
          <w:highlight w:val="none"/>
          <w:lang w:val="en-US" w:eastAsia="zh-CN" w:bidi="ar-SA"/>
        </w:rPr>
        <w:t>2.</w:t>
      </w:r>
      <w:r>
        <w:rPr>
          <w:rFonts w:hint="eastAsia" w:ascii="仿宋_GB2312" w:hAnsi="仿宋_GB2312" w:eastAsia="仿宋_GB2312" w:cs="仿宋_GB2312"/>
          <w:color w:val="auto"/>
          <w:kern w:val="2"/>
          <w:sz w:val="32"/>
          <w:szCs w:val="32"/>
          <w:highlight w:val="none"/>
          <w:lang w:val="zh-CN" w:eastAsia="zh-CN" w:bidi="ar-SA"/>
        </w:rPr>
        <w:t>预算管理。部门预算编制基本做到了依据充分、内容完整、数据准确。项目支出均经过了事前绩效评估，“三公经费”预算编制科学合理，与上年相比只减不增。</w:t>
      </w:r>
    </w:p>
    <w:p w14:paraId="4B42501F">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firstLine="640" w:firstLineChars="200"/>
        <w:contextualSpacing/>
        <w:jc w:val="both"/>
        <w:textAlignment w:val="auto"/>
        <w:outlineLvl w:val="9"/>
        <w:rPr>
          <w:rFonts w:hint="eastAsia" w:ascii="仿宋_GB2312" w:hAnsi="仿宋_GB2312" w:eastAsia="仿宋_GB2312" w:cs="仿宋_GB2312"/>
          <w:color w:val="auto"/>
          <w:kern w:val="2"/>
          <w:sz w:val="32"/>
          <w:szCs w:val="32"/>
          <w:highlight w:val="none"/>
          <w:lang w:val="zh-CN" w:eastAsia="zh-CN" w:bidi="ar-SA"/>
        </w:rPr>
      </w:pPr>
      <w:r>
        <w:rPr>
          <w:rFonts w:hint="eastAsia" w:ascii="仿宋_GB2312" w:hAnsi="仿宋_GB2312" w:eastAsia="仿宋_GB2312" w:cs="仿宋_GB2312"/>
          <w:color w:val="auto"/>
          <w:kern w:val="2"/>
          <w:sz w:val="32"/>
          <w:szCs w:val="32"/>
          <w:highlight w:val="none"/>
          <w:lang w:val="en-US" w:eastAsia="zh-CN" w:bidi="ar-SA"/>
        </w:rPr>
        <w:t>3.</w:t>
      </w:r>
      <w:r>
        <w:rPr>
          <w:rFonts w:hint="eastAsia" w:ascii="仿宋_GB2312" w:hAnsi="仿宋_GB2312" w:eastAsia="仿宋_GB2312" w:cs="仿宋_GB2312"/>
          <w:color w:val="auto"/>
          <w:kern w:val="2"/>
          <w:sz w:val="32"/>
          <w:szCs w:val="32"/>
          <w:highlight w:val="none"/>
          <w:lang w:val="zh-CN" w:eastAsia="zh-CN" w:bidi="ar-SA"/>
        </w:rPr>
        <w:t>财务管理。严格按照财务</w:t>
      </w:r>
      <w:r>
        <w:rPr>
          <w:rFonts w:hint="eastAsia" w:ascii="仿宋_GB2312" w:hAnsi="仿宋_GB2312" w:eastAsia="仿宋_GB2312" w:cs="仿宋_GB2312"/>
          <w:color w:val="auto"/>
          <w:kern w:val="2"/>
          <w:sz w:val="32"/>
          <w:szCs w:val="32"/>
          <w:highlight w:val="none"/>
          <w:lang w:val="en-US" w:eastAsia="zh-CN" w:bidi="ar-SA"/>
        </w:rPr>
        <w:t>管理制度合规使用资金，</w:t>
      </w:r>
      <w:r>
        <w:rPr>
          <w:rFonts w:hint="eastAsia" w:ascii="仿宋_GB2312" w:hAnsi="仿宋_GB2312" w:eastAsia="仿宋_GB2312" w:cs="仿宋_GB2312"/>
          <w:sz w:val="32"/>
          <w:szCs w:val="32"/>
        </w:rPr>
        <w:t>并按要求开展绩效评价，提高资金使用绩效</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color w:val="auto"/>
          <w:kern w:val="2"/>
          <w:sz w:val="32"/>
          <w:szCs w:val="32"/>
          <w:highlight w:val="none"/>
          <w:lang w:val="en-US" w:eastAsia="zh-CN" w:bidi="ar-SA"/>
        </w:rPr>
        <w:t>在</w:t>
      </w:r>
      <w:r>
        <w:rPr>
          <w:rFonts w:hint="eastAsia" w:ascii="仿宋_GB2312" w:hAnsi="仿宋_GB2312" w:eastAsia="仿宋_GB2312" w:cs="仿宋_GB2312"/>
          <w:color w:val="auto"/>
          <w:kern w:val="2"/>
          <w:sz w:val="32"/>
          <w:szCs w:val="32"/>
          <w:highlight w:val="none"/>
          <w:lang w:val="zh-CN" w:eastAsia="zh-CN" w:bidi="ar-SA"/>
        </w:rPr>
        <w:t>资金支付方面审批流程严格，报销凭证规范、齐全。会计核算准确，账务处理及时，财务报表数据真实、完整、准确，能够清晰地反映部门的预算执行和财务状况。</w:t>
      </w:r>
    </w:p>
    <w:p w14:paraId="2A7B33FE">
      <w:pPr>
        <w:keepNext w:val="0"/>
        <w:keepLines w:val="0"/>
        <w:pageBreakBefore w:val="0"/>
        <w:widowControl/>
        <w:kinsoku/>
        <w:wordWrap/>
        <w:overflowPunct/>
        <w:topLinePunct w:val="0"/>
        <w:autoSpaceDE/>
        <w:autoSpaceDN/>
        <w:bidi w:val="0"/>
        <w:adjustRightInd/>
        <w:snapToGrid w:val="0"/>
        <w:spacing w:line="56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color w:val="auto"/>
          <w:kern w:val="2"/>
          <w:sz w:val="32"/>
          <w:szCs w:val="32"/>
          <w:highlight w:val="none"/>
          <w:lang w:val="en-US" w:eastAsia="zh-CN" w:bidi="ar-SA"/>
        </w:rPr>
        <w:t>4.</w:t>
      </w:r>
      <w:r>
        <w:rPr>
          <w:rFonts w:hint="eastAsia" w:ascii="仿宋_GB2312" w:hAnsi="仿宋_GB2312" w:eastAsia="仿宋_GB2312" w:cs="仿宋_GB2312"/>
          <w:color w:val="auto"/>
          <w:kern w:val="2"/>
          <w:sz w:val="32"/>
          <w:szCs w:val="32"/>
          <w:highlight w:val="none"/>
          <w:lang w:val="zh-CN" w:eastAsia="zh-CN" w:bidi="ar-SA"/>
        </w:rPr>
        <w:t>资产管理。</w:t>
      </w:r>
      <w:r>
        <w:rPr>
          <w:rFonts w:hint="eastAsia" w:ascii="仿宋_GB2312" w:hAnsi="仿宋_GB2312" w:eastAsia="仿宋_GB2312" w:cs="仿宋_GB2312"/>
          <w:sz w:val="32"/>
          <w:szCs w:val="32"/>
        </w:rPr>
        <w:t>严格按照关于行政事业单位国有资产管理的相关规定，认真落实资产管理工作，提高资产使用效率，确保资产安全完整。做到</w:t>
      </w:r>
      <w:r>
        <w:rPr>
          <w:rFonts w:hint="eastAsia" w:ascii="仿宋_GB2312" w:hAnsi="仿宋_GB2312" w:eastAsia="仿宋_GB2312" w:cs="仿宋_GB2312"/>
          <w:color w:val="000000"/>
          <w:sz w:val="32"/>
          <w:szCs w:val="32"/>
        </w:rPr>
        <w:t>及时入账，</w:t>
      </w:r>
      <w:r>
        <w:rPr>
          <w:rFonts w:hint="eastAsia" w:ascii="仿宋_GB2312" w:hAnsi="仿宋_GB2312" w:eastAsia="仿宋_GB2312" w:cs="仿宋_GB2312"/>
          <w:sz w:val="32"/>
          <w:szCs w:val="32"/>
        </w:rPr>
        <w:t>账实相符、账账相符</w:t>
      </w:r>
      <w:r>
        <w:rPr>
          <w:rFonts w:hint="eastAsia" w:ascii="仿宋_GB2312" w:hAnsi="仿宋_GB2312" w:eastAsia="仿宋_GB2312" w:cs="仿宋_GB2312"/>
          <w:color w:val="000000"/>
          <w:sz w:val="32"/>
          <w:szCs w:val="32"/>
        </w:rPr>
        <w:t>，防止账外资产。为单位的正常运转和职能履行提供了有力保障。</w:t>
      </w:r>
    </w:p>
    <w:p w14:paraId="11C8C02D">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firstLine="640" w:firstLineChars="200"/>
        <w:contextualSpacing/>
        <w:jc w:val="both"/>
        <w:textAlignment w:val="auto"/>
        <w:outlineLvl w:val="9"/>
        <w:rPr>
          <w:rFonts w:hint="eastAsia" w:ascii="仿宋_GB2312" w:hAnsi="仿宋_GB2312" w:eastAsia="仿宋_GB2312" w:cs="仿宋_GB2312"/>
          <w:color w:val="auto"/>
          <w:kern w:val="2"/>
          <w:sz w:val="32"/>
          <w:szCs w:val="32"/>
          <w:highlight w:val="none"/>
          <w:lang w:val="zh-CN" w:eastAsia="zh-CN" w:bidi="ar-SA"/>
        </w:rPr>
      </w:pPr>
      <w:r>
        <w:rPr>
          <w:rFonts w:hint="eastAsia" w:ascii="仿宋_GB2312" w:hAnsi="仿宋_GB2312" w:eastAsia="仿宋_GB2312" w:cs="仿宋_GB2312"/>
          <w:color w:val="auto"/>
          <w:kern w:val="2"/>
          <w:sz w:val="32"/>
          <w:szCs w:val="32"/>
          <w:highlight w:val="none"/>
          <w:lang w:val="en-US" w:eastAsia="zh-CN" w:bidi="ar-SA"/>
        </w:rPr>
        <w:t>5.</w:t>
      </w:r>
      <w:r>
        <w:rPr>
          <w:rFonts w:hint="eastAsia" w:ascii="仿宋_GB2312" w:hAnsi="仿宋_GB2312" w:eastAsia="仿宋_GB2312" w:cs="仿宋_GB2312"/>
          <w:color w:val="auto"/>
          <w:kern w:val="2"/>
          <w:sz w:val="32"/>
          <w:szCs w:val="32"/>
          <w:highlight w:val="none"/>
          <w:lang w:val="zh-CN" w:eastAsia="zh-CN" w:bidi="ar-SA"/>
        </w:rPr>
        <w:t>采购管理。所有政府采购项目均依法依规执行，采购流程公开、公平、公正，招标文件编制严谨，合同签订及时。政府采购预算执行良好，有效保障了部门业务的顺利开展。</w:t>
      </w:r>
    </w:p>
    <w:p w14:paraId="1A911C87">
      <w:pPr>
        <w:keepNext w:val="0"/>
        <w:keepLines w:val="0"/>
        <w:pageBreakBefore w:val="0"/>
        <w:widowControl w:val="0"/>
        <w:kinsoku/>
        <w:wordWrap/>
        <w:overflowPunct/>
        <w:topLinePunct w:val="0"/>
        <w:autoSpaceDE/>
        <w:autoSpaceDN/>
        <w:bidi w:val="0"/>
        <w:snapToGrid w:val="0"/>
        <w:spacing w:line="560" w:lineRule="exact"/>
        <w:ind w:firstLine="643" w:firstLineChars="200"/>
        <w:jc w:val="both"/>
        <w:textAlignment w:val="auto"/>
        <w:rPr>
          <w:rFonts w:hint="default" w:ascii="Times New Roman" w:hAnsi="Times New Roman" w:eastAsia="楷体_GB2312" w:cs="Times New Roman"/>
          <w:b/>
          <w:bCs/>
          <w:color w:val="000000"/>
          <w:kern w:val="0"/>
          <w:sz w:val="32"/>
          <w:szCs w:val="32"/>
          <w:highlight w:val="none"/>
          <w:shd w:val="clear" w:color="auto" w:fill="FFFFFF"/>
          <w:lang w:val="zh-CN"/>
        </w:rPr>
      </w:pPr>
      <w:r>
        <w:rPr>
          <w:rFonts w:hint="default" w:ascii="Times New Roman" w:hAnsi="Times New Roman" w:eastAsia="楷体_GB2312" w:cs="Times New Roman"/>
          <w:b/>
          <w:bCs/>
          <w:color w:val="000000"/>
          <w:kern w:val="0"/>
          <w:sz w:val="32"/>
          <w:szCs w:val="32"/>
          <w:highlight w:val="none"/>
          <w:shd w:val="clear" w:color="auto" w:fill="FFFFFF"/>
          <w:lang w:val="zh-CN"/>
        </w:rPr>
        <w:t>（二）部门预算项目绩效分析。</w:t>
      </w:r>
    </w:p>
    <w:p w14:paraId="51B8CFCA">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firstLine="640" w:firstLineChars="200"/>
        <w:contextualSpacing/>
        <w:jc w:val="both"/>
        <w:textAlignment w:val="auto"/>
        <w:outlineLvl w:val="9"/>
        <w:rPr>
          <w:rFonts w:hint="eastAsia" w:ascii="仿宋_GB2312" w:hAnsi="仿宋_GB2312" w:eastAsia="仿宋_GB2312" w:cs="仿宋_GB2312"/>
          <w:color w:val="auto"/>
          <w:kern w:val="2"/>
          <w:sz w:val="32"/>
          <w:szCs w:val="32"/>
          <w:highlight w:val="none"/>
          <w:lang w:val="en-US" w:eastAsia="zh-CN" w:bidi="ar-SA"/>
        </w:rPr>
      </w:pPr>
      <w:r>
        <w:rPr>
          <w:rFonts w:hint="eastAsia" w:ascii="仿宋_GB2312" w:hAnsi="仿宋_GB2312" w:eastAsia="仿宋_GB2312" w:cs="仿宋_GB2312"/>
          <w:color w:val="auto"/>
          <w:kern w:val="2"/>
          <w:sz w:val="32"/>
          <w:szCs w:val="32"/>
          <w:highlight w:val="none"/>
          <w:lang w:val="en-US" w:eastAsia="zh-CN" w:bidi="ar-SA"/>
        </w:rPr>
        <w:t>2024年，区文体旅游局按照年初目标任务，结合单位实际工作进行预算、绩效目标制定，严格按照批复的预算，用款计划的要求以及工作进度申请支付资金，使用财政收支预算执行得到良好的制度保障和实施效果。2024年预算特定目标类项目11个，预算数264.85万元，其中153万元为预估指标，实际预算111.85万元，已使用52.46万元，使用率为46.90%。各项目在实施中，严格按照资金管理办法执行，做到了规范、程序透明，达到了预期绩效目标，确保了各类工作推进正常。全年无违规记录。</w:t>
      </w:r>
    </w:p>
    <w:p w14:paraId="6BE920B0">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firstLine="640" w:firstLineChars="200"/>
        <w:contextualSpacing/>
        <w:jc w:val="both"/>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color w:val="auto"/>
          <w:kern w:val="2"/>
          <w:sz w:val="32"/>
          <w:szCs w:val="32"/>
          <w:highlight w:val="none"/>
          <w:lang w:val="zh-CN" w:eastAsia="zh-CN" w:bidi="ar-SA"/>
        </w:rPr>
        <w:t>2.</w:t>
      </w:r>
      <w:r>
        <w:rPr>
          <w:rFonts w:hint="eastAsia" w:ascii="仿宋_GB2312" w:hAnsi="仿宋_GB2312" w:eastAsia="仿宋_GB2312" w:cs="仿宋_GB2312"/>
          <w:color w:val="auto"/>
          <w:kern w:val="2"/>
          <w:sz w:val="32"/>
          <w:szCs w:val="32"/>
          <w:highlight w:val="none"/>
          <w:lang w:val="en-US" w:eastAsia="zh-CN" w:bidi="ar-SA"/>
        </w:rPr>
        <w:t>50</w:t>
      </w:r>
      <w:r>
        <w:rPr>
          <w:rFonts w:hint="eastAsia" w:ascii="仿宋_GB2312" w:hAnsi="仿宋_GB2312" w:eastAsia="仿宋_GB2312" w:cs="仿宋_GB2312"/>
          <w:color w:val="auto"/>
          <w:kern w:val="2"/>
          <w:sz w:val="32"/>
          <w:szCs w:val="32"/>
          <w:highlight w:val="none"/>
          <w:lang w:val="zh-CN" w:eastAsia="zh-CN" w:bidi="ar-SA"/>
        </w:rPr>
        <w:t>万以上项目：地面数字电视全覆盖运行维护费项目，年初预算</w:t>
      </w:r>
      <w:r>
        <w:rPr>
          <w:rFonts w:hint="eastAsia" w:ascii="仿宋_GB2312" w:hAnsi="仿宋_GB2312" w:eastAsia="仿宋_GB2312" w:cs="仿宋_GB2312"/>
          <w:color w:val="auto"/>
          <w:kern w:val="2"/>
          <w:sz w:val="32"/>
          <w:szCs w:val="32"/>
          <w:highlight w:val="none"/>
          <w:lang w:val="en-US" w:eastAsia="zh-CN" w:bidi="ar-SA"/>
        </w:rPr>
        <w:t>60万元，保证全区农村无线数字广播电视发射基站的正常运行，保证群众正常收看广播电视节目。全年无违规记录。</w:t>
      </w:r>
    </w:p>
    <w:p w14:paraId="49DB6D59">
      <w:pPr>
        <w:keepNext w:val="0"/>
        <w:keepLines w:val="0"/>
        <w:pageBreakBefore w:val="0"/>
        <w:widowControl w:val="0"/>
        <w:numPr>
          <w:ilvl w:val="0"/>
          <w:numId w:val="2"/>
        </w:numPr>
        <w:kinsoku/>
        <w:wordWrap/>
        <w:overflowPunct/>
        <w:topLinePunct w:val="0"/>
        <w:autoSpaceDE/>
        <w:autoSpaceDN/>
        <w:bidi w:val="0"/>
        <w:snapToGrid w:val="0"/>
        <w:spacing w:line="560" w:lineRule="exact"/>
        <w:ind w:firstLine="643" w:firstLineChars="200"/>
        <w:jc w:val="both"/>
        <w:textAlignment w:val="auto"/>
        <w:rPr>
          <w:rFonts w:hint="eastAsia" w:ascii="Times New Roman" w:hAnsi="Times New Roman" w:eastAsia="楷体_GB2312" w:cs="Times New Roman"/>
          <w:b/>
          <w:bCs/>
          <w:color w:val="000000"/>
          <w:kern w:val="0"/>
          <w:sz w:val="32"/>
          <w:szCs w:val="32"/>
          <w:highlight w:val="none"/>
          <w:shd w:val="clear" w:color="auto" w:fill="FFFFFF"/>
          <w:lang w:val="zh-CN" w:eastAsia="zh-CN"/>
        </w:rPr>
      </w:pPr>
      <w:r>
        <w:rPr>
          <w:rFonts w:hint="default" w:ascii="Times New Roman" w:hAnsi="Times New Roman" w:eastAsia="楷体_GB2312" w:cs="Times New Roman"/>
          <w:b/>
          <w:bCs/>
          <w:color w:val="000000"/>
          <w:kern w:val="0"/>
          <w:sz w:val="32"/>
          <w:szCs w:val="32"/>
          <w:highlight w:val="none"/>
          <w:shd w:val="clear" w:color="auto" w:fill="FFFFFF"/>
          <w:lang w:val="zh-CN" w:eastAsia="zh-CN"/>
        </w:rPr>
        <w:t>绩效结果应用情况</w:t>
      </w:r>
      <w:r>
        <w:rPr>
          <w:rFonts w:hint="eastAsia" w:ascii="Times New Roman" w:hAnsi="Times New Roman" w:eastAsia="楷体_GB2312" w:cs="Times New Roman"/>
          <w:b/>
          <w:bCs/>
          <w:color w:val="000000"/>
          <w:kern w:val="0"/>
          <w:sz w:val="32"/>
          <w:szCs w:val="32"/>
          <w:highlight w:val="none"/>
          <w:shd w:val="clear" w:color="auto" w:fill="FFFFFF"/>
          <w:lang w:val="zh-CN" w:eastAsia="zh-CN"/>
        </w:rPr>
        <w:t>。</w:t>
      </w:r>
    </w:p>
    <w:p w14:paraId="5EE376B8">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firstLine="640" w:firstLineChars="200"/>
        <w:contextualSpacing/>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color w:val="auto"/>
          <w:kern w:val="2"/>
          <w:sz w:val="32"/>
          <w:szCs w:val="32"/>
          <w:highlight w:val="none"/>
          <w:lang w:val="en-US" w:eastAsia="zh-CN" w:bidi="ar-SA"/>
        </w:rPr>
        <w:t>我局在部门整体支出中，严格按照年初预算安排，按规定对制定项目进行了绩效自评，及时申报年中预算调整项目，严格遵守资金管理制度，强化监督，专款专用，理顺资金支付渠道，确保各项资金及时到位，无截留、挪用等现象。</w:t>
      </w:r>
    </w:p>
    <w:p w14:paraId="08F21245">
      <w:pPr>
        <w:keepNext w:val="0"/>
        <w:keepLines w:val="0"/>
        <w:pageBreakBefore w:val="0"/>
        <w:widowControl/>
        <w:numPr>
          <w:ilvl w:val="0"/>
          <w:numId w:val="0"/>
        </w:numPr>
        <w:kinsoku/>
        <w:wordWrap/>
        <w:overflowPunct/>
        <w:topLinePunct w:val="0"/>
        <w:autoSpaceDE/>
        <w:autoSpaceDN/>
        <w:bidi w:val="0"/>
        <w:adjustRightInd w:val="0"/>
        <w:snapToGrid w:val="0"/>
        <w:spacing w:line="560" w:lineRule="exact"/>
        <w:ind w:firstLine="640" w:firstLineChars="200"/>
        <w:contextualSpacing/>
        <w:jc w:val="both"/>
        <w:textAlignment w:val="auto"/>
        <w:outlineLvl w:val="9"/>
        <w:rPr>
          <w:rFonts w:hint="default" w:ascii="Times New Roman" w:hAnsi="Times New Roman" w:eastAsia="黑体" w:cs="Times New Roman"/>
          <w:color w:val="000000"/>
          <w:kern w:val="0"/>
          <w:sz w:val="32"/>
          <w:szCs w:val="32"/>
          <w:highlight w:val="none"/>
          <w:shd w:val="clear" w:color="auto" w:fill="FFFFFF"/>
          <w:lang w:val="zh-CN"/>
        </w:rPr>
      </w:pPr>
      <w:r>
        <w:rPr>
          <w:rFonts w:hint="default" w:ascii="Times New Roman" w:hAnsi="Times New Roman" w:eastAsia="黑体" w:cs="Times New Roman"/>
          <w:color w:val="000000"/>
          <w:kern w:val="0"/>
          <w:sz w:val="32"/>
          <w:szCs w:val="32"/>
          <w:highlight w:val="none"/>
          <w:shd w:val="clear" w:color="auto" w:fill="FFFFFF"/>
          <w:lang w:val="zh-CN" w:eastAsia="zh-CN"/>
        </w:rPr>
        <w:t>四、</w:t>
      </w:r>
      <w:r>
        <w:rPr>
          <w:rFonts w:hint="default" w:ascii="Times New Roman" w:hAnsi="Times New Roman" w:eastAsia="黑体" w:cs="Times New Roman"/>
          <w:color w:val="000000"/>
          <w:kern w:val="0"/>
          <w:sz w:val="32"/>
          <w:szCs w:val="32"/>
          <w:highlight w:val="none"/>
          <w:shd w:val="clear" w:color="auto" w:fill="FFFFFF"/>
          <w:lang w:val="zh-CN"/>
        </w:rPr>
        <w:t>评价结论及建议</w:t>
      </w:r>
    </w:p>
    <w:p w14:paraId="70A08459">
      <w:pPr>
        <w:keepNext w:val="0"/>
        <w:keepLines w:val="0"/>
        <w:pageBreakBefore w:val="0"/>
        <w:widowControl/>
        <w:kinsoku/>
        <w:wordWrap/>
        <w:overflowPunct/>
        <w:topLinePunct w:val="0"/>
        <w:autoSpaceDE/>
        <w:autoSpaceDN/>
        <w:bidi w:val="0"/>
        <w:adjustRightInd w:val="0"/>
        <w:snapToGrid w:val="0"/>
        <w:spacing w:line="560" w:lineRule="exact"/>
        <w:ind w:firstLine="643" w:firstLineChars="200"/>
        <w:contextualSpacing/>
        <w:jc w:val="both"/>
        <w:textAlignment w:val="auto"/>
        <w:rPr>
          <w:rFonts w:hint="eastAsia" w:ascii="Times New Roman" w:hAnsi="Times New Roman" w:eastAsia="仿宋_GB2312" w:cs="仿宋_GB2312"/>
          <w:color w:val="auto"/>
          <w:kern w:val="2"/>
          <w:sz w:val="32"/>
          <w:szCs w:val="32"/>
          <w:highlight w:val="none"/>
          <w:lang w:val="zh-CN" w:eastAsia="zh-CN" w:bidi="ar-SA"/>
        </w:rPr>
      </w:pPr>
      <w:r>
        <w:rPr>
          <w:rFonts w:hint="default" w:ascii="Times New Roman" w:hAnsi="Times New Roman" w:eastAsia="楷体_GB2312" w:cs="Times New Roman"/>
          <w:b/>
          <w:bCs/>
          <w:color w:val="000000"/>
          <w:kern w:val="0"/>
          <w:sz w:val="32"/>
          <w:szCs w:val="32"/>
          <w:highlight w:val="none"/>
          <w:shd w:val="clear" w:color="auto" w:fill="FFFFFF"/>
          <w:lang w:val="zh-CN"/>
        </w:rPr>
        <w:t>（一）评价结论。</w:t>
      </w:r>
      <w:r>
        <w:rPr>
          <w:rFonts w:hint="eastAsia" w:ascii="仿宋_GB2312" w:hAnsi="仿宋_GB2312" w:eastAsia="仿宋_GB2312" w:cs="仿宋_GB2312"/>
          <w:color w:val="auto"/>
          <w:kern w:val="2"/>
          <w:sz w:val="32"/>
          <w:szCs w:val="32"/>
          <w:highlight w:val="none"/>
          <w:lang w:val="zh-CN" w:eastAsia="zh-CN" w:bidi="ar-SA"/>
        </w:rPr>
        <w:t>我局</w:t>
      </w:r>
      <w:r>
        <w:rPr>
          <w:rFonts w:hint="eastAsia" w:ascii="仿宋_GB2312" w:hAnsi="仿宋_GB2312" w:eastAsia="仿宋_GB2312" w:cs="仿宋_GB2312"/>
          <w:color w:val="auto"/>
          <w:kern w:val="2"/>
          <w:sz w:val="32"/>
          <w:szCs w:val="32"/>
          <w:highlight w:val="none"/>
          <w:lang w:val="en-US" w:eastAsia="zh-CN" w:bidi="ar-SA"/>
        </w:rPr>
        <w:t>2024年度部门整体绩效</w:t>
      </w:r>
      <w:r>
        <w:rPr>
          <w:rFonts w:hint="eastAsia" w:ascii="仿宋_GB2312" w:hAnsi="仿宋_GB2312" w:eastAsia="仿宋_GB2312" w:cs="仿宋_GB2312"/>
          <w:color w:val="auto"/>
          <w:kern w:val="2"/>
          <w:sz w:val="32"/>
          <w:szCs w:val="32"/>
          <w:highlight w:val="none"/>
          <w:lang w:val="zh-CN" w:eastAsia="zh-CN" w:bidi="ar-SA"/>
        </w:rPr>
        <w:t>总体良好，在政策落实、公共服务、资金规范使用等方面成效突出，各项目标达了相应时期执行进度，各项目经费按预算实施，使财政收支预算执行都得了良好的制度保障和实施效果。</w:t>
      </w:r>
    </w:p>
    <w:p w14:paraId="6E573999">
      <w:pPr>
        <w:keepNext w:val="0"/>
        <w:keepLines w:val="0"/>
        <w:pageBreakBefore w:val="0"/>
        <w:widowControl/>
        <w:kinsoku/>
        <w:wordWrap/>
        <w:overflowPunct/>
        <w:topLinePunct w:val="0"/>
        <w:autoSpaceDE/>
        <w:autoSpaceDN/>
        <w:bidi w:val="0"/>
        <w:adjustRightInd w:val="0"/>
        <w:snapToGrid w:val="0"/>
        <w:spacing w:line="560" w:lineRule="exact"/>
        <w:ind w:firstLine="643" w:firstLineChars="200"/>
        <w:contextualSpacing/>
        <w:jc w:val="both"/>
        <w:textAlignment w:val="auto"/>
        <w:outlineLvl w:val="9"/>
        <w:rPr>
          <w:rFonts w:hint="default" w:ascii="Times New Roman" w:hAnsi="Times New Roman" w:eastAsia="楷体_GB2312" w:cs="Times New Roman"/>
          <w:b/>
          <w:bCs/>
          <w:color w:val="000000"/>
          <w:kern w:val="0"/>
          <w:sz w:val="32"/>
          <w:szCs w:val="32"/>
          <w:highlight w:val="none"/>
          <w:shd w:val="clear" w:color="auto" w:fill="FFFFFF"/>
          <w:lang w:val="zh-CN"/>
        </w:rPr>
      </w:pPr>
      <w:r>
        <w:rPr>
          <w:rFonts w:hint="default" w:ascii="Times New Roman" w:hAnsi="Times New Roman" w:eastAsia="楷体_GB2312" w:cs="Times New Roman"/>
          <w:b/>
          <w:bCs/>
          <w:color w:val="000000"/>
          <w:kern w:val="0"/>
          <w:sz w:val="32"/>
          <w:szCs w:val="32"/>
          <w:highlight w:val="none"/>
          <w:shd w:val="clear" w:color="auto" w:fill="FFFFFF"/>
          <w:lang w:val="zh-CN"/>
        </w:rPr>
        <w:t>（二）存在问题。</w:t>
      </w:r>
    </w:p>
    <w:p w14:paraId="061BDDE1">
      <w:pPr>
        <w:keepNext w:val="0"/>
        <w:keepLines w:val="0"/>
        <w:pageBreakBefore w:val="0"/>
        <w:widowControl/>
        <w:kinsoku/>
        <w:wordWrap/>
        <w:overflowPunct/>
        <w:topLinePunct w:val="0"/>
        <w:autoSpaceDE/>
        <w:autoSpaceDN/>
        <w:bidi w:val="0"/>
        <w:adjustRightInd w:val="0"/>
        <w:snapToGrid w:val="0"/>
        <w:spacing w:line="560" w:lineRule="exact"/>
        <w:ind w:firstLine="640" w:firstLineChars="200"/>
        <w:contextualSpacing/>
        <w:jc w:val="both"/>
        <w:textAlignment w:val="auto"/>
        <w:rPr>
          <w:rFonts w:hint="eastAsia" w:ascii="仿宋_GB2312" w:hAnsi="仿宋_GB2312" w:eastAsia="仿宋_GB2312" w:cs="仿宋_GB2312"/>
          <w:color w:val="auto"/>
          <w:kern w:val="2"/>
          <w:sz w:val="32"/>
          <w:szCs w:val="32"/>
          <w:highlight w:val="none"/>
          <w:lang w:val="zh-CN" w:eastAsia="zh-CN" w:bidi="ar-SA"/>
        </w:rPr>
      </w:pPr>
      <w:r>
        <w:rPr>
          <w:rFonts w:hint="eastAsia" w:ascii="仿宋_GB2312" w:hAnsi="仿宋_GB2312" w:eastAsia="仿宋_GB2312" w:cs="仿宋_GB2312"/>
          <w:color w:val="auto"/>
          <w:kern w:val="2"/>
          <w:sz w:val="32"/>
          <w:szCs w:val="32"/>
          <w:highlight w:val="none"/>
          <w:lang w:val="zh-CN" w:eastAsia="zh-CN" w:bidi="ar-SA"/>
        </w:rPr>
        <w:t>无。</w:t>
      </w:r>
    </w:p>
    <w:p w14:paraId="780BC3B9">
      <w:pPr>
        <w:keepNext w:val="0"/>
        <w:keepLines w:val="0"/>
        <w:pageBreakBefore w:val="0"/>
        <w:widowControl/>
        <w:kinsoku/>
        <w:wordWrap/>
        <w:overflowPunct/>
        <w:topLinePunct w:val="0"/>
        <w:autoSpaceDE/>
        <w:autoSpaceDN/>
        <w:bidi w:val="0"/>
        <w:adjustRightInd w:val="0"/>
        <w:snapToGrid w:val="0"/>
        <w:spacing w:line="560" w:lineRule="exact"/>
        <w:ind w:firstLine="643" w:firstLineChars="200"/>
        <w:contextualSpacing/>
        <w:jc w:val="both"/>
        <w:textAlignment w:val="auto"/>
        <w:outlineLvl w:val="9"/>
        <w:rPr>
          <w:rFonts w:hint="eastAsia" w:ascii="Times New Roman" w:hAnsi="Times New Roman" w:eastAsia="仿宋_GB2312" w:cs="Times New Roman"/>
          <w:sz w:val="32"/>
          <w:szCs w:val="32"/>
          <w:u w:val="none"/>
          <w:lang w:val="en" w:eastAsia="zh-CN" w:bidi="ar"/>
        </w:rPr>
      </w:pPr>
      <w:r>
        <w:rPr>
          <w:rFonts w:hint="default" w:ascii="Times New Roman" w:hAnsi="Times New Roman" w:eastAsia="楷体_GB2312" w:cs="Times New Roman"/>
          <w:b/>
          <w:bCs/>
          <w:color w:val="000000"/>
          <w:kern w:val="0"/>
          <w:sz w:val="32"/>
          <w:szCs w:val="32"/>
          <w:highlight w:val="none"/>
          <w:shd w:val="clear" w:color="auto" w:fill="FFFFFF"/>
          <w:lang w:val="zh-CN" w:eastAsia="zh-CN"/>
        </w:rPr>
        <w:t>（三）改进建议。</w:t>
      </w:r>
      <w:bookmarkStart w:id="67" w:name="_Hlk110546638"/>
    </w:p>
    <w:bookmarkEnd w:id="67"/>
    <w:p w14:paraId="331ADB15">
      <w:pPr>
        <w:keepNext w:val="0"/>
        <w:keepLines w:val="0"/>
        <w:pageBreakBefore w:val="0"/>
        <w:widowControl/>
        <w:kinsoku/>
        <w:wordWrap/>
        <w:overflowPunct/>
        <w:topLinePunct w:val="0"/>
        <w:autoSpaceDE/>
        <w:autoSpaceDN/>
        <w:bidi w:val="0"/>
        <w:adjustRightInd w:val="0"/>
        <w:snapToGrid w:val="0"/>
        <w:spacing w:line="560" w:lineRule="exact"/>
        <w:ind w:firstLine="640" w:firstLineChars="200"/>
        <w:contextualSpacing/>
        <w:jc w:val="both"/>
        <w:textAlignment w:val="auto"/>
        <w:rPr>
          <w:rFonts w:hint="eastAsia" w:ascii="仿宋_GB2312" w:hAnsi="仿宋_GB2312" w:eastAsia="仿宋_GB2312" w:cs="仿宋_GB2312"/>
          <w:color w:val="000000"/>
          <w:kern w:val="0"/>
          <w:sz w:val="32"/>
          <w:szCs w:val="32"/>
          <w:lang w:val="zh-CN"/>
        </w:rPr>
      </w:pPr>
      <w:r>
        <w:rPr>
          <w:rFonts w:hint="eastAsia" w:ascii="仿宋_GB2312" w:hAnsi="仿宋_GB2312" w:eastAsia="仿宋_GB2312" w:cs="仿宋_GB2312"/>
          <w:color w:val="000000"/>
          <w:kern w:val="0"/>
          <w:sz w:val="32"/>
          <w:szCs w:val="32"/>
          <w:lang w:val="zh-CN"/>
        </w:rPr>
        <w:t>下一步将继续加强财政绩效管理，使用好财政资金，积极发挥财政资金的作用。</w:t>
      </w:r>
    </w:p>
    <w:p w14:paraId="5E76F699">
      <w:pPr>
        <w:pStyle w:val="7"/>
        <w:keepNext w:val="0"/>
        <w:keepLines w:val="0"/>
        <w:pageBreakBefore w:val="0"/>
        <w:numPr>
          <w:ilvl w:val="0"/>
          <w:numId w:val="0"/>
        </w:numPr>
        <w:kinsoku/>
        <w:wordWrap/>
        <w:overflowPunct/>
        <w:topLinePunct w:val="0"/>
        <w:autoSpaceDE/>
        <w:autoSpaceDN/>
        <w:bidi w:val="0"/>
        <w:spacing w:after="0" w:line="560" w:lineRule="exact"/>
        <w:ind w:firstLine="640" w:firstLineChars="200"/>
        <w:jc w:val="both"/>
        <w:textAlignment w:val="auto"/>
        <w:rPr>
          <w:rFonts w:hint="eastAsia" w:ascii="Times New Roman" w:hAnsi="Times New Roman" w:eastAsia="仿宋_GB2312" w:cs="Times New Roman"/>
          <w:kern w:val="2"/>
          <w:sz w:val="32"/>
          <w:szCs w:val="32"/>
          <w:u w:val="none"/>
          <w:lang w:val="zh-CN" w:eastAsia="zh-CN" w:bidi="ar"/>
        </w:rPr>
      </w:pPr>
      <w:r>
        <w:rPr>
          <w:rFonts w:hint="eastAsia" w:ascii="仿宋_GB2312" w:hAnsi="仿宋_GB2312" w:eastAsia="仿宋_GB2312" w:cs="仿宋_GB2312"/>
          <w:kern w:val="2"/>
          <w:sz w:val="32"/>
          <w:szCs w:val="32"/>
          <w:u w:val="none"/>
          <w:lang w:val="zh-CN" w:eastAsia="zh-CN" w:bidi="ar"/>
        </w:rPr>
        <w:t>附表：</w:t>
      </w:r>
      <w:r>
        <w:rPr>
          <w:rFonts w:hint="eastAsia" w:ascii="仿宋_GB2312" w:hAnsi="仿宋_GB2312" w:eastAsia="仿宋_GB2312" w:cs="仿宋_GB2312"/>
          <w:kern w:val="2"/>
          <w:sz w:val="32"/>
          <w:szCs w:val="32"/>
          <w:u w:val="none"/>
          <w:lang w:val="en-US" w:eastAsia="zh-CN" w:bidi="ar"/>
        </w:rPr>
        <w:t>部门预算项目支出绩效自评表（2024年度）</w:t>
      </w:r>
    </w:p>
    <w:p w14:paraId="2B9369BE">
      <w:pPr>
        <w:rPr>
          <w:rFonts w:hint="eastAsia" w:ascii="Times New Roman" w:hAnsi="Times New Roman" w:eastAsia="黑体" w:cs="黑体"/>
          <w:color w:val="auto"/>
          <w:kern w:val="0"/>
          <w:sz w:val="32"/>
          <w:szCs w:val="32"/>
          <w:highlight w:val="none"/>
          <w:shd w:val="clear" w:color="auto" w:fill="FFFFFF"/>
          <w:lang w:val="zh-CN"/>
        </w:rPr>
      </w:pPr>
      <w:r>
        <w:rPr>
          <w:rFonts w:hint="eastAsia" w:ascii="Times New Roman" w:hAnsi="Times New Roman" w:eastAsia="黑体" w:cs="黑体"/>
          <w:color w:val="auto"/>
          <w:kern w:val="0"/>
          <w:sz w:val="32"/>
          <w:szCs w:val="32"/>
          <w:highlight w:val="none"/>
          <w:shd w:val="clear" w:color="auto" w:fill="FFFFFF"/>
          <w:lang w:val="zh-CN"/>
        </w:rPr>
        <w:br w:type="page"/>
      </w:r>
    </w:p>
    <w:p w14:paraId="4D3A5185">
      <w:pPr>
        <w:pStyle w:val="5"/>
        <w:rPr>
          <w:rFonts w:ascii="Times New Roman" w:hAnsi="Times New Roman"/>
          <w:color w:val="auto"/>
          <w:kern w:val="2"/>
          <w:sz w:val="32"/>
          <w:szCs w:val="32"/>
          <w:highlight w:val="none"/>
        </w:rPr>
      </w:pPr>
      <w:r>
        <w:rPr>
          <w:rFonts w:hint="eastAsia" w:ascii="Times New Roman" w:hAnsi="Times New Roman" w:eastAsia="黑体" w:cs="黑体"/>
          <w:color w:val="auto"/>
          <w:kern w:val="0"/>
          <w:sz w:val="32"/>
          <w:szCs w:val="32"/>
          <w:highlight w:val="none"/>
          <w:shd w:val="clear" w:color="auto" w:fill="FFFFFF"/>
          <w:lang w:val="zh-CN"/>
        </w:rPr>
        <w:t>附件</w:t>
      </w:r>
      <w:r>
        <w:rPr>
          <w:rFonts w:hint="eastAsia" w:ascii="Times New Roman" w:hAnsi="Times New Roman" w:eastAsia="黑体" w:cs="黑体"/>
          <w:color w:val="auto"/>
          <w:kern w:val="0"/>
          <w:sz w:val="32"/>
          <w:szCs w:val="32"/>
          <w:highlight w:val="none"/>
          <w:shd w:val="clear" w:color="auto" w:fill="FFFFFF"/>
          <w:lang w:val="en-US" w:eastAsia="zh-CN"/>
        </w:rPr>
        <w:t>2</w:t>
      </w:r>
    </w:p>
    <w:p w14:paraId="5C259208">
      <w:pPr>
        <w:keepNext w:val="0"/>
        <w:keepLines w:val="0"/>
        <w:pageBreakBefore w:val="0"/>
        <w:widowControl w:val="0"/>
        <w:kinsoku/>
        <w:wordWrap/>
        <w:overflowPunct/>
        <w:topLinePunct w:val="0"/>
        <w:autoSpaceDE/>
        <w:autoSpaceDN/>
        <w:bidi w:val="0"/>
        <w:adjustRightInd/>
        <w:snapToGrid w:val="0"/>
        <w:spacing w:line="640" w:lineRule="exact"/>
        <w:jc w:val="center"/>
        <w:textAlignment w:val="auto"/>
        <w:rPr>
          <w:rFonts w:hint="eastAsia" w:ascii="方正小标宋简体" w:hAnsi="方正小标宋简体" w:eastAsia="方正小标宋简体"/>
          <w:b w:val="0"/>
          <w:bCs/>
          <w:sz w:val="44"/>
          <w:szCs w:val="44"/>
        </w:rPr>
      </w:pPr>
      <w:r>
        <w:rPr>
          <w:rFonts w:hint="eastAsia" w:ascii="方正小标宋简体" w:hAnsi="方正小标宋简体" w:eastAsia="方正小标宋简体"/>
          <w:b w:val="0"/>
          <w:bCs/>
          <w:sz w:val="44"/>
          <w:szCs w:val="44"/>
        </w:rPr>
        <w:t>项目支出绩效自评报告</w:t>
      </w:r>
    </w:p>
    <w:p w14:paraId="3A34C5E5">
      <w:pPr>
        <w:keepNext w:val="0"/>
        <w:keepLines w:val="0"/>
        <w:pageBreakBefore w:val="0"/>
        <w:widowControl w:val="0"/>
        <w:kinsoku/>
        <w:wordWrap/>
        <w:overflowPunct/>
        <w:topLinePunct w:val="0"/>
        <w:autoSpaceDE/>
        <w:autoSpaceDN/>
        <w:bidi w:val="0"/>
        <w:adjustRightInd/>
        <w:snapToGrid w:val="0"/>
        <w:spacing w:line="560" w:lineRule="atLeast"/>
        <w:jc w:val="center"/>
        <w:textAlignment w:val="auto"/>
        <w:rPr>
          <w:rFonts w:hint="eastAsia" w:ascii="楷体_GB2312" w:hAnsi="楷体_GB2312" w:eastAsia="楷体_GB2312" w:cs="楷体_GB2312"/>
          <w:b w:val="0"/>
          <w:bCs/>
          <w:sz w:val="32"/>
          <w:szCs w:val="32"/>
        </w:rPr>
      </w:pPr>
      <w:r>
        <w:rPr>
          <w:rFonts w:hint="eastAsia" w:ascii="楷体_GB2312" w:hAnsi="楷体_GB2312" w:eastAsia="楷体_GB2312" w:cs="楷体_GB2312"/>
          <w:b w:val="0"/>
          <w:bCs/>
          <w:sz w:val="32"/>
          <w:szCs w:val="32"/>
        </w:rPr>
        <w:t>（20</w:t>
      </w:r>
      <w:r>
        <w:rPr>
          <w:rFonts w:hint="eastAsia" w:ascii="楷体_GB2312" w:hAnsi="楷体_GB2312" w:eastAsia="楷体_GB2312" w:cs="楷体_GB2312"/>
          <w:b w:val="0"/>
          <w:bCs/>
          <w:sz w:val="32"/>
          <w:szCs w:val="32"/>
          <w:lang w:val="en-US" w:eastAsia="zh-CN"/>
        </w:rPr>
        <w:t>24</w:t>
      </w:r>
      <w:r>
        <w:rPr>
          <w:rFonts w:hint="eastAsia" w:ascii="楷体_GB2312" w:hAnsi="楷体_GB2312" w:eastAsia="楷体_GB2312" w:cs="楷体_GB2312"/>
          <w:b w:val="0"/>
          <w:bCs/>
          <w:sz w:val="32"/>
          <w:szCs w:val="32"/>
        </w:rPr>
        <w:t>年</w:t>
      </w:r>
      <w:r>
        <w:rPr>
          <w:rFonts w:hint="eastAsia" w:ascii="楷体_GB2312" w:hAnsi="楷体_GB2312" w:eastAsia="楷体_GB2312" w:cs="楷体_GB2312"/>
          <w:b w:val="0"/>
          <w:bCs/>
          <w:sz w:val="32"/>
          <w:szCs w:val="32"/>
          <w:lang w:val="en-US" w:eastAsia="zh-CN"/>
        </w:rPr>
        <w:t xml:space="preserve"> 金口河区第二届舌尖上的非遗——特色美食大赛及推广交流活动</w:t>
      </w:r>
      <w:r>
        <w:rPr>
          <w:rFonts w:hint="eastAsia" w:ascii="楷体_GB2312" w:hAnsi="楷体_GB2312" w:eastAsia="楷体_GB2312" w:cs="楷体_GB2312"/>
          <w:b w:val="0"/>
          <w:bCs/>
          <w:sz w:val="32"/>
          <w:szCs w:val="32"/>
        </w:rPr>
        <w:t>项目）</w:t>
      </w:r>
    </w:p>
    <w:p w14:paraId="0BAE7861">
      <w:pPr>
        <w:keepNext w:val="0"/>
        <w:keepLines w:val="0"/>
        <w:pageBreakBefore w:val="0"/>
        <w:widowControl w:val="0"/>
        <w:kinsoku/>
        <w:wordWrap/>
        <w:overflowPunct/>
        <w:topLinePunct w:val="0"/>
        <w:autoSpaceDE/>
        <w:autoSpaceDN/>
        <w:bidi w:val="0"/>
        <w:adjustRightInd/>
        <w:snapToGrid w:val="0"/>
        <w:spacing w:line="560" w:lineRule="exact"/>
        <w:jc w:val="center"/>
        <w:textAlignment w:val="auto"/>
        <w:rPr>
          <w:rFonts w:hint="eastAsia" w:ascii="仿宋" w:eastAsia="仿宋"/>
          <w:b/>
          <w:sz w:val="32"/>
          <w:szCs w:val="32"/>
        </w:rPr>
      </w:pPr>
    </w:p>
    <w:p w14:paraId="0672181A">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黑体" w:eastAsia="黑体"/>
          <w:sz w:val="32"/>
          <w:szCs w:val="32"/>
        </w:rPr>
      </w:pPr>
      <w:r>
        <w:rPr>
          <w:rFonts w:hint="eastAsia" w:ascii="黑体" w:eastAsia="黑体"/>
          <w:sz w:val="32"/>
          <w:szCs w:val="32"/>
        </w:rPr>
        <w:t>一、项目概况</w:t>
      </w:r>
    </w:p>
    <w:p w14:paraId="3519548D">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楷体_GB2312" w:hAnsi="楷体_GB2312" w:eastAsia="楷体_GB2312"/>
          <w:b/>
          <w:bCs w:val="0"/>
          <w:sz w:val="32"/>
          <w:szCs w:val="32"/>
        </w:rPr>
      </w:pPr>
      <w:r>
        <w:rPr>
          <w:rFonts w:hint="eastAsia" w:ascii="楷体_GB2312" w:hAnsi="楷体_GB2312" w:eastAsia="楷体_GB2312"/>
          <w:b/>
          <w:bCs w:val="0"/>
          <w:sz w:val="32"/>
          <w:szCs w:val="32"/>
        </w:rPr>
        <w:t>（一）项目资金申报及批复情况</w:t>
      </w:r>
    </w:p>
    <w:p w14:paraId="02BD2364">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bidi="ar-SA"/>
        </w:rPr>
        <w:t>根据《关于</w:t>
      </w:r>
      <w:r>
        <w:rPr>
          <w:rFonts w:hint="eastAsia" w:ascii="仿宋_GB2312" w:hAnsi="仿宋_GB2312" w:eastAsia="仿宋_GB2312" w:cs="仿宋_GB2312"/>
          <w:sz w:val="32"/>
          <w:szCs w:val="32"/>
          <w:lang w:val="en-US" w:eastAsia="zh-CN" w:bidi="ar-SA"/>
        </w:rPr>
        <w:t>&lt;</w:t>
      </w:r>
      <w:r>
        <w:rPr>
          <w:rFonts w:hint="eastAsia" w:ascii="仿宋_GB2312" w:hAnsi="仿宋_GB2312" w:eastAsia="仿宋_GB2312" w:cs="仿宋_GB2312"/>
          <w:sz w:val="32"/>
          <w:szCs w:val="32"/>
          <w:lang w:bidi="ar-SA"/>
        </w:rPr>
        <w:t>关于申报2024年沙湾区结对帮扶金口河区发展项目的请示</w:t>
      </w:r>
      <w:r>
        <w:rPr>
          <w:rFonts w:hint="eastAsia" w:ascii="仿宋_GB2312" w:hAnsi="仿宋_GB2312" w:eastAsia="仿宋_GB2312" w:cs="仿宋_GB2312"/>
          <w:sz w:val="32"/>
          <w:szCs w:val="32"/>
          <w:lang w:eastAsia="zh-CN" w:bidi="ar-SA"/>
        </w:rPr>
        <w:t>》</w:t>
      </w:r>
      <w:r>
        <w:rPr>
          <w:rFonts w:hint="eastAsia" w:ascii="仿宋_GB2312" w:hAnsi="仿宋_GB2312" w:eastAsia="仿宋_GB2312" w:cs="仿宋_GB2312"/>
          <w:sz w:val="32"/>
          <w:szCs w:val="32"/>
          <w:lang w:bidi="ar-SA"/>
        </w:rPr>
        <w:t>的批复》（</w:t>
      </w:r>
      <w:r>
        <w:rPr>
          <w:rFonts w:hint="eastAsia" w:ascii="仿宋_GB2312" w:hAnsi="仿宋_GB2312" w:eastAsia="仿宋_GB2312" w:cs="仿宋_GB2312"/>
          <w:sz w:val="32"/>
          <w:szCs w:val="32"/>
          <w:lang w:val="en-US" w:eastAsia="zh-CN" w:bidi="ar-SA"/>
        </w:rPr>
        <w:t>乐沙扶复</w:t>
      </w:r>
      <w:r>
        <w:rPr>
          <w:rFonts w:hint="eastAsia" w:ascii="仿宋_GB2312" w:hAnsi="仿宋_GB2312" w:eastAsia="仿宋_GB2312" w:cs="仿宋_GB2312"/>
          <w:sz w:val="32"/>
          <w:szCs w:val="32"/>
          <w:lang w:bidi="ar-SA"/>
        </w:rPr>
        <w:t>〔20</w:t>
      </w:r>
      <w:r>
        <w:rPr>
          <w:rFonts w:hint="eastAsia" w:ascii="仿宋_GB2312" w:hAnsi="仿宋_GB2312" w:eastAsia="仿宋_GB2312" w:cs="仿宋_GB2312"/>
          <w:sz w:val="32"/>
          <w:szCs w:val="32"/>
          <w:lang w:val="en-US" w:eastAsia="zh-CN" w:bidi="ar-SA"/>
        </w:rPr>
        <w:t>24</w:t>
      </w:r>
      <w:r>
        <w:rPr>
          <w:rFonts w:hint="eastAsia" w:ascii="仿宋_GB2312" w:hAnsi="仿宋_GB2312" w:eastAsia="仿宋_GB2312" w:cs="仿宋_GB2312"/>
          <w:sz w:val="32"/>
          <w:szCs w:val="32"/>
          <w:lang w:bidi="ar-SA"/>
        </w:rPr>
        <w:t>〕</w:t>
      </w:r>
      <w:r>
        <w:rPr>
          <w:rFonts w:hint="eastAsia" w:ascii="仿宋_GB2312" w:hAnsi="仿宋_GB2312" w:eastAsia="仿宋_GB2312" w:cs="仿宋_GB2312"/>
          <w:sz w:val="32"/>
          <w:szCs w:val="32"/>
          <w:lang w:val="en-US" w:eastAsia="zh-CN" w:bidi="ar-SA"/>
        </w:rPr>
        <w:t>6</w:t>
      </w:r>
      <w:r>
        <w:rPr>
          <w:rFonts w:hint="eastAsia" w:ascii="仿宋_GB2312" w:hAnsi="仿宋_GB2312" w:eastAsia="仿宋_GB2312" w:cs="仿宋_GB2312"/>
          <w:sz w:val="32"/>
          <w:szCs w:val="32"/>
          <w:lang w:bidi="ar-SA"/>
        </w:rPr>
        <w:t>号）</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审议通过沙湾区对口帮扶资金10万元</w:t>
      </w:r>
      <w:r>
        <w:rPr>
          <w:rFonts w:hint="eastAsia" w:ascii="仿宋_GB2312" w:hAnsi="仿宋_GB2312" w:eastAsia="仿宋_GB2312" w:cs="仿宋_GB2312"/>
          <w:sz w:val="32"/>
          <w:szCs w:val="32"/>
        </w:rPr>
        <w:t>，用于</w:t>
      </w:r>
      <w:r>
        <w:rPr>
          <w:rFonts w:hint="eastAsia" w:ascii="仿宋_GB2312" w:hAnsi="仿宋_GB2312" w:eastAsia="仿宋_GB2312" w:cs="仿宋_GB2312"/>
          <w:sz w:val="32"/>
          <w:szCs w:val="32"/>
          <w:lang w:eastAsia="zh-CN"/>
        </w:rPr>
        <w:t>金口河区第二届“舌尖上的非遗”特色美食大赛及推广交流活动</w:t>
      </w:r>
      <w:r>
        <w:rPr>
          <w:rFonts w:hint="eastAsia" w:ascii="仿宋_GB2312" w:hAnsi="仿宋_GB2312" w:eastAsia="仿宋_GB2312" w:cs="仿宋_GB2312"/>
          <w:sz w:val="32"/>
          <w:szCs w:val="32"/>
        </w:rPr>
        <w:t>。</w:t>
      </w:r>
    </w:p>
    <w:p w14:paraId="485FEC5E">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楷体_GB2312" w:hAnsi="楷体_GB2312" w:eastAsia="楷体_GB2312"/>
          <w:b/>
          <w:bCs w:val="0"/>
          <w:sz w:val="32"/>
          <w:szCs w:val="32"/>
        </w:rPr>
      </w:pPr>
      <w:r>
        <w:rPr>
          <w:rFonts w:hint="eastAsia" w:ascii="楷体_GB2312" w:hAnsi="楷体_GB2312" w:eastAsia="楷体_GB2312"/>
          <w:b/>
          <w:bCs w:val="0"/>
          <w:sz w:val="32"/>
          <w:szCs w:val="32"/>
        </w:rPr>
        <w:t>（二）项目绩效目标</w:t>
      </w:r>
    </w:p>
    <w:p w14:paraId="346DE22C">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bidi="ar-SA"/>
        </w:rPr>
      </w:pPr>
      <w:r>
        <w:rPr>
          <w:rFonts w:hint="eastAsia" w:ascii="仿宋_GB2312" w:hAnsi="仿宋_GB2312" w:eastAsia="仿宋_GB2312" w:cs="仿宋_GB2312"/>
          <w:sz w:val="32"/>
          <w:szCs w:val="32"/>
          <w:lang w:bidi="ar-SA"/>
        </w:rPr>
        <w:t>1.项目主要内容：</w:t>
      </w:r>
      <w:r>
        <w:rPr>
          <w:rFonts w:hint="eastAsia" w:ascii="仿宋_GB2312" w:hAnsi="仿宋_GB2312" w:eastAsia="仿宋_GB2312" w:cs="仿宋_GB2312"/>
          <w:sz w:val="32"/>
          <w:szCs w:val="32"/>
          <w:lang w:eastAsia="zh-CN"/>
        </w:rPr>
        <w:t>在全区境内开展以非遗特色美食为主题的第二届美食大赛及推广交流活动。</w:t>
      </w:r>
    </w:p>
    <w:p w14:paraId="5B5D57BA">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bidi="ar-SA"/>
        </w:rPr>
      </w:pPr>
      <w:r>
        <w:rPr>
          <w:rFonts w:hint="eastAsia" w:ascii="仿宋_GB2312" w:hAnsi="仿宋_GB2312" w:eastAsia="仿宋_GB2312" w:cs="仿宋_GB2312"/>
          <w:sz w:val="32"/>
          <w:szCs w:val="32"/>
          <w:lang w:bidi="ar-SA"/>
        </w:rPr>
        <w:t>2.项目应实现的具体绩效目标：该项目资金</w:t>
      </w:r>
      <w:r>
        <w:rPr>
          <w:rFonts w:hint="eastAsia" w:ascii="仿宋_GB2312" w:hAnsi="仿宋_GB2312" w:eastAsia="仿宋_GB2312" w:cs="仿宋_GB2312"/>
          <w:sz w:val="32"/>
          <w:szCs w:val="32"/>
          <w:lang w:val="en-US" w:eastAsia="zh-CN" w:bidi="ar-SA"/>
        </w:rPr>
        <w:t>10</w:t>
      </w:r>
      <w:r>
        <w:rPr>
          <w:rFonts w:hint="eastAsia" w:ascii="仿宋_GB2312" w:hAnsi="仿宋_GB2312" w:eastAsia="仿宋_GB2312" w:cs="仿宋_GB2312"/>
          <w:sz w:val="32"/>
          <w:szCs w:val="32"/>
          <w:lang w:bidi="ar-SA"/>
        </w:rPr>
        <w:t>万元用于</w:t>
      </w:r>
      <w:r>
        <w:rPr>
          <w:rFonts w:hint="eastAsia" w:ascii="仿宋_GB2312" w:hAnsi="仿宋_GB2312" w:eastAsia="仿宋_GB2312" w:cs="仿宋_GB2312"/>
          <w:sz w:val="32"/>
          <w:szCs w:val="32"/>
          <w:lang w:val="en-US" w:eastAsia="zh-CN"/>
        </w:rPr>
        <w:t>开展</w:t>
      </w:r>
      <w:r>
        <w:rPr>
          <w:rFonts w:hint="eastAsia" w:ascii="仿宋_GB2312" w:hAnsi="仿宋_GB2312" w:eastAsia="仿宋_GB2312" w:cs="仿宋_GB2312"/>
          <w:sz w:val="32"/>
          <w:szCs w:val="32"/>
          <w:lang w:eastAsia="zh-CN"/>
        </w:rPr>
        <w:t>第二届“舌尖上的非遗”特色美食大赛及推广交流活动</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lang w:eastAsia="zh-CN"/>
        </w:rPr>
        <w:t>全力打造金口河非遗项目品牌，通过大力宣传推广提高金口河非遗项目知名度。</w:t>
      </w:r>
    </w:p>
    <w:p w14:paraId="59FEE0DC">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楷体_GB2312" w:hAnsi="楷体_GB2312" w:eastAsia="楷体_GB2312"/>
          <w:b/>
          <w:bCs w:val="0"/>
          <w:sz w:val="32"/>
          <w:szCs w:val="32"/>
        </w:rPr>
      </w:pPr>
      <w:r>
        <w:rPr>
          <w:rFonts w:hint="eastAsia" w:ascii="楷体_GB2312" w:hAnsi="楷体_GB2312" w:eastAsia="楷体_GB2312"/>
          <w:b/>
          <w:bCs w:val="0"/>
          <w:sz w:val="32"/>
          <w:szCs w:val="32"/>
        </w:rPr>
        <w:t>（三）项目资金申报相符性</w:t>
      </w:r>
    </w:p>
    <w:p w14:paraId="4146F7F5">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项目资金申报与实际相符，申报目标合理可行。</w:t>
      </w:r>
    </w:p>
    <w:p w14:paraId="56FA8F7B">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黑体" w:eastAsia="黑体"/>
          <w:sz w:val="32"/>
          <w:szCs w:val="32"/>
        </w:rPr>
      </w:pPr>
      <w:r>
        <w:rPr>
          <w:rFonts w:hint="eastAsia" w:ascii="黑体" w:eastAsia="黑体"/>
          <w:sz w:val="32"/>
          <w:szCs w:val="32"/>
        </w:rPr>
        <w:t>二、项目实施及管理情况</w:t>
      </w:r>
    </w:p>
    <w:p w14:paraId="79FD16F4">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楷体_GB2312" w:hAnsi="楷体_GB2312" w:eastAsia="楷体_GB2312"/>
          <w:b/>
          <w:bCs w:val="0"/>
          <w:sz w:val="32"/>
          <w:szCs w:val="32"/>
        </w:rPr>
      </w:pPr>
      <w:r>
        <w:rPr>
          <w:rFonts w:hint="eastAsia" w:ascii="楷体_GB2312" w:hAnsi="楷体_GB2312" w:eastAsia="楷体_GB2312"/>
          <w:b/>
          <w:bCs w:val="0"/>
          <w:sz w:val="32"/>
          <w:szCs w:val="32"/>
        </w:rPr>
        <w:t>（一）资金计划、到位及使用情况</w:t>
      </w:r>
    </w:p>
    <w:p w14:paraId="165842DA">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lang w:bidi="ar-SA"/>
        </w:rPr>
        <w:t>根据《关于</w:t>
      </w:r>
      <w:r>
        <w:rPr>
          <w:rFonts w:hint="eastAsia" w:ascii="仿宋_GB2312" w:hAnsi="仿宋_GB2312" w:eastAsia="仿宋_GB2312" w:cs="仿宋_GB2312"/>
          <w:sz w:val="32"/>
          <w:szCs w:val="32"/>
          <w:lang w:val="en-US" w:eastAsia="zh-CN" w:bidi="ar-SA"/>
        </w:rPr>
        <w:t>&lt;</w:t>
      </w:r>
      <w:r>
        <w:rPr>
          <w:rFonts w:hint="eastAsia" w:ascii="仿宋_GB2312" w:hAnsi="仿宋_GB2312" w:eastAsia="仿宋_GB2312" w:cs="仿宋_GB2312"/>
          <w:sz w:val="32"/>
          <w:szCs w:val="32"/>
          <w:lang w:bidi="ar-SA"/>
        </w:rPr>
        <w:t>关于申报2024年沙湾区结对帮扶金口河区发展项目的请示</w:t>
      </w:r>
      <w:r>
        <w:rPr>
          <w:rFonts w:hint="eastAsia" w:ascii="仿宋_GB2312" w:hAnsi="仿宋_GB2312" w:eastAsia="仿宋_GB2312" w:cs="仿宋_GB2312"/>
          <w:sz w:val="32"/>
          <w:szCs w:val="32"/>
          <w:lang w:eastAsia="zh-CN" w:bidi="ar-SA"/>
        </w:rPr>
        <w:t>》</w:t>
      </w:r>
      <w:r>
        <w:rPr>
          <w:rFonts w:hint="eastAsia" w:ascii="仿宋_GB2312" w:hAnsi="仿宋_GB2312" w:eastAsia="仿宋_GB2312" w:cs="仿宋_GB2312"/>
          <w:sz w:val="32"/>
          <w:szCs w:val="32"/>
          <w:lang w:bidi="ar-SA"/>
        </w:rPr>
        <w:t>的批复》（</w:t>
      </w:r>
      <w:r>
        <w:rPr>
          <w:rFonts w:hint="eastAsia" w:ascii="仿宋_GB2312" w:hAnsi="仿宋_GB2312" w:eastAsia="仿宋_GB2312" w:cs="仿宋_GB2312"/>
          <w:sz w:val="32"/>
          <w:szCs w:val="32"/>
          <w:lang w:val="en-US" w:eastAsia="zh-CN" w:bidi="ar-SA"/>
        </w:rPr>
        <w:t>乐沙扶复</w:t>
      </w:r>
      <w:r>
        <w:rPr>
          <w:rFonts w:hint="eastAsia" w:ascii="仿宋_GB2312" w:hAnsi="仿宋_GB2312" w:eastAsia="仿宋_GB2312" w:cs="仿宋_GB2312"/>
          <w:sz w:val="32"/>
          <w:szCs w:val="32"/>
          <w:lang w:bidi="ar-SA"/>
        </w:rPr>
        <w:t>〔20</w:t>
      </w:r>
      <w:r>
        <w:rPr>
          <w:rFonts w:hint="eastAsia" w:ascii="仿宋_GB2312" w:hAnsi="仿宋_GB2312" w:eastAsia="仿宋_GB2312" w:cs="仿宋_GB2312"/>
          <w:sz w:val="32"/>
          <w:szCs w:val="32"/>
          <w:lang w:val="en-US" w:eastAsia="zh-CN" w:bidi="ar-SA"/>
        </w:rPr>
        <w:t>24</w:t>
      </w:r>
      <w:r>
        <w:rPr>
          <w:rFonts w:hint="eastAsia" w:ascii="仿宋_GB2312" w:hAnsi="仿宋_GB2312" w:eastAsia="仿宋_GB2312" w:cs="仿宋_GB2312"/>
          <w:sz w:val="32"/>
          <w:szCs w:val="32"/>
          <w:lang w:bidi="ar-SA"/>
        </w:rPr>
        <w:t>〕</w:t>
      </w:r>
      <w:r>
        <w:rPr>
          <w:rFonts w:hint="eastAsia" w:ascii="仿宋_GB2312" w:hAnsi="仿宋_GB2312" w:eastAsia="仿宋_GB2312" w:cs="仿宋_GB2312"/>
          <w:sz w:val="32"/>
          <w:szCs w:val="32"/>
          <w:lang w:val="en-US" w:eastAsia="zh-CN" w:bidi="ar-SA"/>
        </w:rPr>
        <w:t>6</w:t>
      </w:r>
      <w:r>
        <w:rPr>
          <w:rFonts w:hint="eastAsia" w:ascii="仿宋_GB2312" w:hAnsi="仿宋_GB2312" w:eastAsia="仿宋_GB2312" w:cs="仿宋_GB2312"/>
          <w:sz w:val="32"/>
          <w:szCs w:val="32"/>
          <w:lang w:bidi="ar-SA"/>
        </w:rPr>
        <w:t>号）</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审议通过沙湾区对口帮扶资金10万元</w:t>
      </w:r>
      <w:r>
        <w:rPr>
          <w:rFonts w:hint="eastAsia" w:ascii="仿宋_GB2312" w:hAnsi="仿宋_GB2312" w:eastAsia="仿宋_GB2312" w:cs="仿宋_GB2312"/>
          <w:sz w:val="32"/>
          <w:szCs w:val="32"/>
        </w:rPr>
        <w:t>，用于</w:t>
      </w:r>
      <w:r>
        <w:rPr>
          <w:rFonts w:hint="eastAsia" w:ascii="仿宋_GB2312" w:hAnsi="仿宋_GB2312" w:eastAsia="仿宋_GB2312" w:cs="仿宋_GB2312"/>
          <w:sz w:val="32"/>
          <w:szCs w:val="32"/>
          <w:lang w:eastAsia="zh-CN"/>
        </w:rPr>
        <w:t>金口河区第二届“舌尖上的非遗”特色美食大赛及推广交流活动，</w:t>
      </w:r>
      <w:r>
        <w:rPr>
          <w:rFonts w:hint="eastAsia" w:ascii="仿宋_GB2312" w:hAnsi="仿宋_GB2312" w:eastAsia="仿宋_GB2312" w:cs="仿宋_GB2312"/>
          <w:sz w:val="32"/>
          <w:szCs w:val="32"/>
          <w:lang w:val="en-US" w:eastAsia="zh-CN"/>
        </w:rPr>
        <w:t>项目资金7.05万元已全部到位。</w:t>
      </w:r>
    </w:p>
    <w:p w14:paraId="334556CE">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2.资金使用。已开展</w:t>
      </w:r>
      <w:r>
        <w:rPr>
          <w:rFonts w:hint="eastAsia" w:ascii="仿宋_GB2312" w:hAnsi="仿宋_GB2312" w:eastAsia="仿宋_GB2312" w:cs="仿宋_GB2312"/>
          <w:sz w:val="32"/>
          <w:szCs w:val="32"/>
          <w:lang w:eastAsia="zh-CN"/>
        </w:rPr>
        <w:t>金口河区第二届“舌尖上的非遗”特色美食大赛及推广交流活动，</w:t>
      </w:r>
      <w:r>
        <w:rPr>
          <w:rFonts w:hint="eastAsia" w:ascii="仿宋_GB2312" w:hAnsi="仿宋_GB2312" w:eastAsia="仿宋_GB2312" w:cs="仿宋_GB2312"/>
          <w:sz w:val="32"/>
          <w:szCs w:val="32"/>
          <w:lang w:val="en-US" w:eastAsia="zh-CN"/>
        </w:rPr>
        <w:t>按照合同金额7.05万元，已支付完毕。</w:t>
      </w:r>
    </w:p>
    <w:p w14:paraId="29E05C00">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ascii="楷体_GB2312" w:hAnsi="楷体_GB2312" w:eastAsia="楷体_GB2312"/>
          <w:b/>
          <w:sz w:val="32"/>
          <w:szCs w:val="32"/>
        </w:rPr>
      </w:pPr>
      <w:r>
        <w:rPr>
          <w:rFonts w:hint="eastAsia" w:ascii="楷体_GB2312" w:hAnsi="楷体_GB2312" w:eastAsia="楷体_GB2312"/>
          <w:b/>
          <w:sz w:val="32"/>
          <w:szCs w:val="32"/>
        </w:rPr>
        <w:t>（二）项目财务管理情况</w:t>
      </w:r>
    </w:p>
    <w:p w14:paraId="79DF713F">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严格按照《乐山市沙湾区先发带后发结对帮扶资金共同管理办法》</w:t>
      </w:r>
      <w:r>
        <w:rPr>
          <w:rFonts w:hint="eastAsia" w:ascii="仿宋_GB2312" w:hAnsi="仿宋_GB2312" w:eastAsia="仿宋_GB2312" w:cs="仿宋_GB2312"/>
          <w:sz w:val="32"/>
          <w:szCs w:val="32"/>
          <w:lang w:bidi="ar-SA"/>
        </w:rPr>
        <w:t>（</w:t>
      </w:r>
      <w:r>
        <w:rPr>
          <w:rFonts w:hint="eastAsia" w:ascii="仿宋_GB2312" w:hAnsi="仿宋_GB2312" w:eastAsia="仿宋_GB2312" w:cs="仿宋_GB2312"/>
          <w:sz w:val="32"/>
          <w:szCs w:val="32"/>
          <w:lang w:val="en-US" w:eastAsia="zh-CN" w:bidi="ar-SA"/>
        </w:rPr>
        <w:t>乐沙财政</w:t>
      </w:r>
      <w:r>
        <w:rPr>
          <w:rFonts w:hint="eastAsia" w:ascii="仿宋_GB2312" w:hAnsi="仿宋_GB2312" w:eastAsia="仿宋_GB2312" w:cs="仿宋_GB2312"/>
          <w:sz w:val="32"/>
          <w:szCs w:val="32"/>
          <w:lang w:bidi="ar-SA"/>
        </w:rPr>
        <w:t>〔20</w:t>
      </w:r>
      <w:r>
        <w:rPr>
          <w:rFonts w:hint="eastAsia" w:ascii="仿宋_GB2312" w:hAnsi="仿宋_GB2312" w:eastAsia="仿宋_GB2312" w:cs="仿宋_GB2312"/>
          <w:sz w:val="32"/>
          <w:szCs w:val="32"/>
          <w:lang w:val="en-US" w:eastAsia="zh-CN" w:bidi="ar-SA"/>
        </w:rPr>
        <w:t>23</w:t>
      </w:r>
      <w:r>
        <w:rPr>
          <w:rFonts w:hint="eastAsia" w:ascii="仿宋_GB2312" w:hAnsi="仿宋_GB2312" w:eastAsia="仿宋_GB2312" w:cs="仿宋_GB2312"/>
          <w:sz w:val="32"/>
          <w:szCs w:val="32"/>
          <w:lang w:bidi="ar-SA"/>
        </w:rPr>
        <w:t>〕</w:t>
      </w:r>
      <w:r>
        <w:rPr>
          <w:rFonts w:hint="eastAsia" w:ascii="仿宋_GB2312" w:hAnsi="仿宋_GB2312" w:eastAsia="仿宋_GB2312" w:cs="仿宋_GB2312"/>
          <w:sz w:val="32"/>
          <w:szCs w:val="32"/>
          <w:lang w:val="en-US" w:eastAsia="zh-CN" w:bidi="ar-SA"/>
        </w:rPr>
        <w:t>6</w:t>
      </w:r>
      <w:r>
        <w:rPr>
          <w:rFonts w:hint="eastAsia" w:ascii="仿宋_GB2312" w:hAnsi="仿宋_GB2312" w:eastAsia="仿宋_GB2312" w:cs="仿宋_GB2312"/>
          <w:sz w:val="32"/>
          <w:szCs w:val="32"/>
          <w:lang w:bidi="ar-SA"/>
        </w:rPr>
        <w:t>号）</w:t>
      </w:r>
      <w:r>
        <w:rPr>
          <w:rFonts w:hint="eastAsia" w:ascii="仿宋_GB2312" w:hAnsi="仿宋_GB2312" w:eastAsia="仿宋_GB2312" w:cs="仿宋_GB2312"/>
          <w:sz w:val="32"/>
          <w:szCs w:val="32"/>
          <w:lang w:val="en-US" w:eastAsia="zh-CN"/>
        </w:rPr>
        <w:t>等有关规定，严格规范资金使用方向，严格执行采购程序，认真执行财务管理相关制度，确保做到专款专用，提高资金使用效益。</w:t>
      </w:r>
    </w:p>
    <w:p w14:paraId="067378D8">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ascii="楷体_GB2312" w:hAnsi="楷体_GB2312" w:eastAsia="楷体_GB2312"/>
          <w:b/>
          <w:sz w:val="32"/>
          <w:szCs w:val="32"/>
        </w:rPr>
      </w:pPr>
      <w:r>
        <w:rPr>
          <w:rFonts w:hint="eastAsia" w:ascii="楷体_GB2312" w:hAnsi="楷体_GB2312" w:eastAsia="楷体_GB2312"/>
          <w:b/>
          <w:sz w:val="32"/>
          <w:szCs w:val="32"/>
        </w:rPr>
        <w:t>（三）项目组织实施情况</w:t>
      </w:r>
    </w:p>
    <w:p w14:paraId="19466041">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金口河区第二届“舌尖上的非遗”特色美食大赛及推广交流活动，</w:t>
      </w:r>
      <w:r>
        <w:rPr>
          <w:rFonts w:hint="eastAsia" w:ascii="Times New Roman" w:hAnsi="Times New Roman" w:eastAsia="仿宋_GB2312" w:cs="Times New Roman"/>
          <w:sz w:val="32"/>
          <w:szCs w:val="32"/>
          <w:lang w:val="en-US" w:eastAsia="zh-CN"/>
        </w:rPr>
        <w:t>经过前期的征集报名、培训指导，共有非遗美食老鹰茶、永胜手工麻花、红苕麻糖、大瓦山永胜腊肉、彝家坨坨肉、胆水豆花儿等10多个特色、精致作品，进入决赛。选手们创意十足，技艺娴熟，烹饪的美食真实展现出了金口河地域特色，每一道菜肴都充满了独特的韵味和魅力，为推动金口河特色非遗、美食文化和经济社会发展注入了新的活力。</w:t>
      </w:r>
    </w:p>
    <w:p w14:paraId="0A7A785B">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黑体" w:eastAsia="黑体"/>
          <w:sz w:val="32"/>
          <w:szCs w:val="32"/>
        </w:rPr>
      </w:pPr>
      <w:r>
        <w:rPr>
          <w:rFonts w:hint="eastAsia" w:ascii="黑体" w:eastAsia="黑体"/>
          <w:sz w:val="32"/>
          <w:szCs w:val="32"/>
        </w:rPr>
        <w:t>三、项目绩效情况</w:t>
      </w:r>
    </w:p>
    <w:p w14:paraId="68D40900">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楷体_GB2312" w:hAnsi="楷体_GB2312" w:eastAsia="楷体_GB2312"/>
          <w:b/>
          <w:sz w:val="32"/>
          <w:szCs w:val="32"/>
        </w:rPr>
      </w:pPr>
      <w:r>
        <w:rPr>
          <w:rFonts w:hint="eastAsia" w:ascii="楷体_GB2312" w:hAnsi="楷体_GB2312" w:eastAsia="楷体_GB2312"/>
          <w:b/>
          <w:sz w:val="32"/>
          <w:szCs w:val="32"/>
        </w:rPr>
        <w:t>（一）项目完成情况</w:t>
      </w:r>
    </w:p>
    <w:p w14:paraId="0CD99467">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严格按照相关文件的要求，已成功举办</w:t>
      </w:r>
      <w:r>
        <w:rPr>
          <w:rFonts w:hint="eastAsia" w:ascii="仿宋_GB2312" w:hAnsi="仿宋_GB2312" w:eastAsia="仿宋_GB2312" w:cs="仿宋_GB2312"/>
          <w:sz w:val="32"/>
          <w:szCs w:val="32"/>
          <w:lang w:eastAsia="zh-CN"/>
        </w:rPr>
        <w:t>金口河区第二届“舌尖上的非遗”特色美食大赛及推广交流活动</w:t>
      </w:r>
      <w:r>
        <w:rPr>
          <w:rFonts w:hint="eastAsia" w:ascii="仿宋_GB2312" w:hAnsi="仿宋_GB2312" w:eastAsia="仿宋_GB2312" w:cs="仿宋_GB2312"/>
          <w:sz w:val="32"/>
          <w:szCs w:val="32"/>
          <w:lang w:val="en-US" w:eastAsia="zh-CN"/>
        </w:rPr>
        <w:t>，使用资金7.05万元，高质量完成本项目。</w:t>
      </w:r>
    </w:p>
    <w:p w14:paraId="055A2FD9">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楷体_GB2312" w:hAnsi="楷体_GB2312" w:eastAsia="楷体_GB2312"/>
          <w:b/>
          <w:sz w:val="32"/>
          <w:szCs w:val="32"/>
        </w:rPr>
      </w:pPr>
      <w:r>
        <w:rPr>
          <w:rFonts w:hint="eastAsia" w:ascii="楷体_GB2312" w:hAnsi="楷体_GB2312" w:eastAsia="楷体_GB2312"/>
          <w:b/>
          <w:sz w:val="32"/>
          <w:szCs w:val="32"/>
        </w:rPr>
        <w:t>（二）项目效益情况</w:t>
      </w:r>
    </w:p>
    <w:p w14:paraId="13FB56EB">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仿宋" w:eastAsia="仿宋"/>
          <w:sz w:val="32"/>
          <w:szCs w:val="32"/>
          <w:lang w:val="en-US"/>
        </w:rPr>
      </w:pPr>
      <w:r>
        <w:rPr>
          <w:rFonts w:hint="eastAsia" w:ascii="仿宋_GB2312" w:hAnsi="仿宋_GB2312" w:eastAsia="仿宋_GB2312" w:cs="仿宋_GB2312"/>
          <w:sz w:val="32"/>
          <w:szCs w:val="32"/>
          <w:lang w:eastAsia="zh-CN"/>
        </w:rPr>
        <w:t>金口河区第二届“舌尖上的非遗”特色美食大赛及推广交流活动，</w:t>
      </w:r>
      <w:r>
        <w:rPr>
          <w:rFonts w:hint="eastAsia" w:ascii="Times New Roman" w:hAnsi="Times New Roman" w:eastAsia="仿宋_GB2312" w:cs="Times New Roman"/>
          <w:sz w:val="32"/>
          <w:szCs w:val="32"/>
          <w:lang w:val="en-US" w:eastAsia="zh-CN"/>
        </w:rPr>
        <w:t>经过前期的征集报名、培训指导，打磨出10多个具有金口河特色的非遗美食作品，为推动金口河特色非遗、美食文化和经济社会发展注入了新的活力。</w:t>
      </w:r>
    </w:p>
    <w:p w14:paraId="4A341EF2">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黑体" w:eastAsia="黑体"/>
          <w:sz w:val="32"/>
          <w:szCs w:val="32"/>
        </w:rPr>
      </w:pPr>
      <w:r>
        <w:rPr>
          <w:rFonts w:hint="eastAsia" w:ascii="黑体" w:eastAsia="黑体"/>
          <w:sz w:val="32"/>
          <w:szCs w:val="32"/>
        </w:rPr>
        <w:t>四、问题及建议</w:t>
      </w:r>
    </w:p>
    <w:p w14:paraId="6011572A">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 w:eastAsia="仿宋" w:cs="仿宋"/>
          <w:sz w:val="32"/>
          <w:szCs w:val="32"/>
          <w:lang w:bidi="ar-SA"/>
        </w:rPr>
      </w:pPr>
      <w:r>
        <w:rPr>
          <w:rFonts w:hint="eastAsia" w:ascii="仿宋_GB2312" w:hAnsi="仿宋_GB2312" w:eastAsia="仿宋_GB2312" w:cs="仿宋_GB2312"/>
          <w:sz w:val="32"/>
          <w:szCs w:val="32"/>
          <w:lang w:val="en-US" w:eastAsia="zh-CN"/>
        </w:rPr>
        <w:t>下一步我们将强化金口河本土特色美食培育，持续推出“</w:t>
      </w:r>
      <w:r>
        <w:rPr>
          <w:rFonts w:hint="eastAsia" w:ascii="Times New Roman" w:hAnsi="Times New Roman" w:eastAsia="仿宋_GB2312" w:cs="Times New Roman"/>
          <w:sz w:val="32"/>
          <w:szCs w:val="32"/>
          <w:lang w:val="en-US" w:eastAsia="zh-CN"/>
        </w:rPr>
        <w:t>天麻宴</w:t>
      </w:r>
      <w:r>
        <w:rPr>
          <w:rFonts w:hint="eastAsia" w:ascii="仿宋_GB2312" w:hAnsi="仿宋_GB2312" w:eastAsia="仿宋_GB2312" w:cs="仿宋_GB2312"/>
          <w:sz w:val="32"/>
          <w:szCs w:val="32"/>
          <w:lang w:val="en-US" w:eastAsia="zh-CN"/>
        </w:rPr>
        <w:t>”系列美食</w:t>
      </w:r>
      <w:r>
        <w:rPr>
          <w:rFonts w:hint="eastAsia" w:ascii="Times New Roman" w:hAnsi="Times New Roman" w:eastAsia="仿宋_GB2312" w:cs="Times New Roman"/>
          <w:sz w:val="32"/>
          <w:szCs w:val="32"/>
          <w:lang w:val="en-US" w:eastAsia="zh-CN"/>
        </w:rPr>
        <w:t>，届时我们将制作一桌菜品、打造一份菜谱、擦亮一个品牌，让乌天麻走出金口河，</w:t>
      </w:r>
      <w:r>
        <w:rPr>
          <w:rFonts w:hint="eastAsia" w:ascii="仿宋_GB2312" w:hAnsi="仿宋_GB2312" w:eastAsia="仿宋_GB2312" w:cs="仿宋_GB2312"/>
          <w:sz w:val="32"/>
          <w:szCs w:val="32"/>
          <w:lang w:val="en-US" w:eastAsia="zh-CN"/>
        </w:rPr>
        <w:t>为我区乡村全面振兴贡献文旅力量。</w:t>
      </w:r>
    </w:p>
    <w:p w14:paraId="25B8B4EF">
      <w:pPr>
        <w:keepNext w:val="0"/>
        <w:keepLines w:val="0"/>
        <w:pageBreakBefore w:val="0"/>
        <w:widowControl w:val="0"/>
        <w:kinsoku/>
        <w:wordWrap/>
        <w:overflowPunct/>
        <w:topLinePunct w:val="0"/>
        <w:autoSpaceDE/>
        <w:autoSpaceDN/>
        <w:bidi w:val="0"/>
        <w:spacing w:line="578" w:lineRule="exact"/>
        <w:ind w:firstLine="640"/>
        <w:textAlignment w:val="auto"/>
        <w:outlineLvl w:val="9"/>
        <w:rPr>
          <w:rFonts w:hint="eastAsia" w:ascii="Times New Roman" w:hAnsi="Times New Roman" w:eastAsia="仿宋_GB2312" w:cs="仿宋_GB2312"/>
          <w:b w:val="0"/>
          <w:bCs w:val="0"/>
          <w:kern w:val="0"/>
          <w:position w:val="0"/>
          <w:sz w:val="32"/>
          <w:szCs w:val="32"/>
          <w:highlight w:val="none"/>
          <w:lang w:val="en-US" w:eastAsia="zh-CN" w:bidi="ar-SA"/>
        </w:rPr>
      </w:pPr>
      <w:r>
        <w:rPr>
          <w:rFonts w:hint="eastAsia" w:ascii="Times New Roman" w:hAnsi="Times New Roman" w:eastAsia="仿宋_GB2312" w:cs="仿宋_GB2312"/>
          <w:b w:val="0"/>
          <w:bCs w:val="0"/>
          <w:kern w:val="0"/>
          <w:position w:val="0"/>
          <w:sz w:val="32"/>
          <w:szCs w:val="32"/>
          <w:highlight w:val="none"/>
          <w:lang w:val="en-US" w:eastAsia="zh-CN" w:bidi="ar-SA"/>
        </w:rPr>
        <w:t>（</w:t>
      </w:r>
      <w:r>
        <w:rPr>
          <w:rFonts w:hint="eastAsia" w:eastAsia="仿宋_GB2312" w:cs="仿宋_GB2312"/>
          <w:b w:val="0"/>
          <w:bCs w:val="0"/>
          <w:kern w:val="0"/>
          <w:position w:val="0"/>
          <w:sz w:val="32"/>
          <w:szCs w:val="32"/>
          <w:highlight w:val="none"/>
          <w:lang w:val="en-US" w:eastAsia="zh-CN" w:bidi="ar-SA"/>
        </w:rPr>
        <w:t>注：</w:t>
      </w:r>
      <w:r>
        <w:rPr>
          <w:rFonts w:hint="eastAsia" w:ascii="Times New Roman" w:hAnsi="Times New Roman" w:eastAsia="仿宋_GB2312" w:cs="仿宋_GB2312"/>
          <w:b w:val="0"/>
          <w:bCs w:val="0"/>
          <w:kern w:val="0"/>
          <w:position w:val="0"/>
          <w:sz w:val="32"/>
          <w:szCs w:val="32"/>
          <w:highlight w:val="none"/>
          <w:lang w:val="en-US" w:eastAsia="zh-CN" w:bidi="ar-SA"/>
        </w:rPr>
        <w:t>以上绩效自评报告，除涉密敏感内容外，原则上都应予以公开）</w:t>
      </w:r>
    </w:p>
    <w:p w14:paraId="05DF23C3">
      <w:pPr>
        <w:keepNext w:val="0"/>
        <w:keepLines w:val="0"/>
        <w:pageBreakBefore w:val="0"/>
        <w:widowControl w:val="0"/>
        <w:kinsoku/>
        <w:wordWrap/>
        <w:overflowPunct/>
        <w:topLinePunct w:val="0"/>
        <w:autoSpaceDE/>
        <w:autoSpaceDN/>
        <w:bidi w:val="0"/>
        <w:spacing w:line="578" w:lineRule="exact"/>
        <w:ind w:firstLine="640"/>
        <w:textAlignment w:val="auto"/>
        <w:outlineLvl w:val="9"/>
        <w:rPr>
          <w:rFonts w:hint="eastAsia" w:ascii="Times New Roman" w:hAnsi="Times New Roman" w:eastAsia="仿宋_GB2312" w:cs="仿宋_GB2312"/>
          <w:b w:val="0"/>
          <w:bCs w:val="0"/>
          <w:kern w:val="0"/>
          <w:position w:val="0"/>
          <w:sz w:val="32"/>
          <w:szCs w:val="32"/>
          <w:highlight w:val="none"/>
          <w:lang w:val="en-US" w:eastAsia="zh-CN" w:bidi="ar-SA"/>
        </w:rPr>
      </w:pPr>
    </w:p>
    <w:p w14:paraId="636246DC">
      <w:pPr>
        <w:keepNext w:val="0"/>
        <w:keepLines w:val="0"/>
        <w:pageBreakBefore w:val="0"/>
        <w:widowControl w:val="0"/>
        <w:kinsoku/>
        <w:wordWrap/>
        <w:overflowPunct/>
        <w:topLinePunct w:val="0"/>
        <w:autoSpaceDE/>
        <w:autoSpaceDN/>
        <w:bidi w:val="0"/>
        <w:spacing w:line="578" w:lineRule="exact"/>
        <w:ind w:firstLine="640"/>
        <w:textAlignment w:val="auto"/>
        <w:outlineLvl w:val="9"/>
        <w:rPr>
          <w:rFonts w:hint="eastAsia" w:ascii="Times New Roman" w:hAnsi="Times New Roman" w:eastAsia="仿宋_GB2312" w:cs="仿宋_GB2312"/>
          <w:b w:val="0"/>
          <w:bCs w:val="0"/>
          <w:kern w:val="0"/>
          <w:position w:val="0"/>
          <w:sz w:val="32"/>
          <w:szCs w:val="32"/>
          <w:highlight w:val="none"/>
          <w:lang w:val="en-US" w:eastAsia="zh-CN" w:bidi="ar-SA"/>
        </w:rPr>
      </w:pPr>
    </w:p>
    <w:p w14:paraId="46530218">
      <w:pPr>
        <w:keepNext w:val="0"/>
        <w:keepLines w:val="0"/>
        <w:pageBreakBefore w:val="0"/>
        <w:widowControl w:val="0"/>
        <w:kinsoku/>
        <w:wordWrap/>
        <w:overflowPunct/>
        <w:topLinePunct w:val="0"/>
        <w:autoSpaceDE/>
        <w:autoSpaceDN/>
        <w:bidi w:val="0"/>
        <w:spacing w:line="578" w:lineRule="exact"/>
        <w:ind w:firstLine="640"/>
        <w:textAlignment w:val="auto"/>
        <w:outlineLvl w:val="9"/>
        <w:rPr>
          <w:rFonts w:hint="eastAsia" w:ascii="Times New Roman" w:hAnsi="Times New Roman" w:eastAsia="仿宋_GB2312" w:cs="仿宋_GB2312"/>
          <w:b w:val="0"/>
          <w:bCs w:val="0"/>
          <w:kern w:val="0"/>
          <w:position w:val="0"/>
          <w:sz w:val="32"/>
          <w:szCs w:val="32"/>
          <w:highlight w:val="none"/>
          <w:lang w:val="en-US" w:eastAsia="zh-CN" w:bidi="ar-SA"/>
        </w:rPr>
      </w:pPr>
      <w:bookmarkStart w:id="68" w:name="_Toc15396618"/>
      <w:r>
        <w:rPr>
          <w:rFonts w:hint="eastAsia" w:ascii="Times New Roman" w:hAnsi="Times New Roman" w:eastAsia="仿宋_GB2312" w:cs="仿宋_GB2312"/>
          <w:b w:val="0"/>
          <w:bCs w:val="0"/>
          <w:kern w:val="0"/>
          <w:position w:val="0"/>
          <w:sz w:val="32"/>
          <w:szCs w:val="32"/>
          <w:highlight w:val="none"/>
          <w:lang w:val="en-US" w:eastAsia="zh-CN" w:bidi="ar-SA"/>
        </w:rPr>
        <w:br w:type="page"/>
      </w:r>
    </w:p>
    <w:p w14:paraId="13101F4C">
      <w:pPr>
        <w:keepNext w:val="0"/>
        <w:keepLines w:val="0"/>
        <w:pageBreakBefore w:val="0"/>
        <w:widowControl/>
        <w:kinsoku/>
        <w:wordWrap/>
        <w:overflowPunct/>
        <w:topLinePunct w:val="0"/>
        <w:autoSpaceDE/>
        <w:autoSpaceDN/>
        <w:bidi w:val="0"/>
        <w:adjustRightInd/>
        <w:snapToGrid/>
        <w:jc w:val="center"/>
        <w:textAlignment w:val="auto"/>
        <w:outlineLvl w:val="0"/>
        <w:rPr>
          <w:rFonts w:hint="eastAsia" w:ascii="Times New Roman" w:hAnsi="Times New Roman" w:eastAsia="仿宋"/>
          <w:b w:val="0"/>
          <w:color w:val="auto"/>
          <w:highlight w:val="none"/>
        </w:rPr>
      </w:pPr>
      <w:bookmarkStart w:id="69" w:name="_Toc19267"/>
      <w:r>
        <w:rPr>
          <w:rFonts w:hint="eastAsia" w:ascii="Times New Roman" w:hAnsi="Times New Roman" w:eastAsia="黑体"/>
          <w:color w:val="auto"/>
          <w:sz w:val="44"/>
          <w:szCs w:val="44"/>
          <w:highlight w:val="none"/>
        </w:rPr>
        <w:t>第</w:t>
      </w:r>
      <w:r>
        <w:rPr>
          <w:rStyle w:val="29"/>
          <w:rFonts w:hint="eastAsia" w:ascii="Times New Roman" w:hAnsi="Times New Roman" w:eastAsia="黑体"/>
          <w:b w:val="0"/>
          <w:color w:val="auto"/>
          <w:highlight w:val="none"/>
        </w:rPr>
        <w:t>五部分 附表</w:t>
      </w:r>
      <w:bookmarkEnd w:id="63"/>
      <w:bookmarkEnd w:id="68"/>
      <w:bookmarkEnd w:id="69"/>
      <w:bookmarkStart w:id="70" w:name="_Toc15396619"/>
    </w:p>
    <w:p w14:paraId="22EF7FFD">
      <w:pPr>
        <w:pStyle w:val="14"/>
        <w:keepNext w:val="0"/>
        <w:keepLines w:val="0"/>
        <w:pageBreakBefore w:val="0"/>
        <w:kinsoku/>
        <w:wordWrap/>
        <w:overflowPunct/>
        <w:topLinePunct w:val="0"/>
        <w:autoSpaceDE/>
        <w:autoSpaceDN/>
        <w:bidi w:val="0"/>
        <w:adjustRightInd w:val="0"/>
        <w:snapToGrid w:val="0"/>
        <w:spacing w:line="560" w:lineRule="exact"/>
        <w:jc w:val="left"/>
        <w:textAlignment w:val="auto"/>
        <w:rPr>
          <w:rFonts w:hint="eastAsia" w:ascii="Times New Roman" w:hAnsi="Times New Roman" w:eastAsia="仿宋_GB2312" w:cs="仿宋_GB2312"/>
          <w:color w:val="auto"/>
          <w:sz w:val="32"/>
          <w:szCs w:val="32"/>
          <w:highlight w:val="none"/>
        </w:rPr>
      </w:pPr>
    </w:p>
    <w:p w14:paraId="1B1A466A">
      <w:pPr>
        <w:pStyle w:val="3"/>
        <w:keepNext/>
        <w:keepLines/>
        <w:pageBreakBefore w:val="0"/>
        <w:widowControl w:val="0"/>
        <w:kinsoku/>
        <w:wordWrap/>
        <w:overflowPunct/>
        <w:topLinePunct w:val="0"/>
        <w:autoSpaceDE/>
        <w:autoSpaceDN/>
        <w:bidi w:val="0"/>
        <w:adjustRightInd/>
        <w:snapToGrid/>
        <w:spacing w:before="0" w:after="0" w:line="560" w:lineRule="exact"/>
        <w:textAlignment w:val="auto"/>
        <w:rPr>
          <w:rFonts w:hint="eastAsia" w:ascii="仿宋_GB2312" w:hAnsi="仿宋_GB2312" w:eastAsia="仿宋_GB2312" w:cs="仿宋_GB2312"/>
          <w:b w:val="0"/>
          <w:bCs w:val="0"/>
          <w:sz w:val="32"/>
          <w:szCs w:val="32"/>
        </w:rPr>
      </w:pPr>
      <w:bookmarkStart w:id="71" w:name="_Toc4480"/>
      <w:r>
        <w:rPr>
          <w:rFonts w:hint="eastAsia" w:ascii="仿宋_GB2312" w:hAnsi="仿宋_GB2312" w:eastAsia="仿宋_GB2312" w:cs="仿宋_GB2312"/>
          <w:b w:val="0"/>
          <w:bCs w:val="0"/>
          <w:sz w:val="32"/>
          <w:szCs w:val="32"/>
        </w:rPr>
        <w:t>一、收入支出决算总表</w:t>
      </w:r>
      <w:bookmarkEnd w:id="70"/>
      <w:bookmarkEnd w:id="71"/>
    </w:p>
    <w:p w14:paraId="0037A92B">
      <w:pPr>
        <w:pStyle w:val="3"/>
        <w:keepNext/>
        <w:keepLines/>
        <w:pageBreakBefore w:val="0"/>
        <w:widowControl w:val="0"/>
        <w:kinsoku/>
        <w:wordWrap/>
        <w:overflowPunct/>
        <w:topLinePunct w:val="0"/>
        <w:autoSpaceDE/>
        <w:autoSpaceDN/>
        <w:bidi w:val="0"/>
        <w:adjustRightInd/>
        <w:snapToGrid/>
        <w:spacing w:before="0" w:after="0" w:line="560" w:lineRule="exact"/>
        <w:textAlignment w:val="auto"/>
        <w:rPr>
          <w:rFonts w:hint="eastAsia" w:ascii="仿宋_GB2312" w:hAnsi="仿宋_GB2312" w:eastAsia="仿宋_GB2312" w:cs="仿宋_GB2312"/>
          <w:b w:val="0"/>
          <w:bCs w:val="0"/>
          <w:sz w:val="32"/>
          <w:szCs w:val="32"/>
        </w:rPr>
      </w:pPr>
      <w:bookmarkStart w:id="72" w:name="_Toc15396620"/>
      <w:bookmarkStart w:id="73" w:name="_Toc10353"/>
      <w:r>
        <w:rPr>
          <w:rFonts w:hint="eastAsia" w:ascii="仿宋_GB2312" w:hAnsi="仿宋_GB2312" w:eastAsia="仿宋_GB2312" w:cs="仿宋_GB2312"/>
          <w:b w:val="0"/>
          <w:bCs w:val="0"/>
          <w:sz w:val="32"/>
          <w:szCs w:val="32"/>
        </w:rPr>
        <w:t>二、收入决算表</w:t>
      </w:r>
      <w:bookmarkEnd w:id="72"/>
      <w:bookmarkEnd w:id="73"/>
    </w:p>
    <w:p w14:paraId="369156E3">
      <w:pPr>
        <w:pStyle w:val="3"/>
        <w:keepNext/>
        <w:keepLines/>
        <w:pageBreakBefore w:val="0"/>
        <w:widowControl w:val="0"/>
        <w:kinsoku/>
        <w:wordWrap/>
        <w:overflowPunct/>
        <w:topLinePunct w:val="0"/>
        <w:autoSpaceDE/>
        <w:autoSpaceDN/>
        <w:bidi w:val="0"/>
        <w:adjustRightInd/>
        <w:snapToGrid/>
        <w:spacing w:before="0" w:after="0" w:line="560" w:lineRule="exact"/>
        <w:textAlignment w:val="auto"/>
        <w:rPr>
          <w:rFonts w:hint="eastAsia" w:ascii="仿宋_GB2312" w:hAnsi="仿宋_GB2312" w:eastAsia="仿宋_GB2312" w:cs="仿宋_GB2312"/>
          <w:b w:val="0"/>
          <w:bCs w:val="0"/>
          <w:sz w:val="32"/>
          <w:szCs w:val="32"/>
        </w:rPr>
      </w:pPr>
      <w:bookmarkStart w:id="74" w:name="_Toc15396621"/>
      <w:bookmarkStart w:id="75" w:name="_Toc12755"/>
      <w:r>
        <w:rPr>
          <w:rFonts w:hint="eastAsia" w:ascii="仿宋_GB2312" w:hAnsi="仿宋_GB2312" w:eastAsia="仿宋_GB2312" w:cs="仿宋_GB2312"/>
          <w:b w:val="0"/>
          <w:bCs w:val="0"/>
          <w:sz w:val="32"/>
          <w:szCs w:val="32"/>
        </w:rPr>
        <w:t>三、支出决算表</w:t>
      </w:r>
      <w:bookmarkEnd w:id="74"/>
      <w:bookmarkEnd w:id="75"/>
    </w:p>
    <w:p w14:paraId="29DF6757">
      <w:pPr>
        <w:pStyle w:val="3"/>
        <w:keepNext/>
        <w:keepLines/>
        <w:pageBreakBefore w:val="0"/>
        <w:widowControl w:val="0"/>
        <w:kinsoku/>
        <w:wordWrap/>
        <w:overflowPunct/>
        <w:topLinePunct w:val="0"/>
        <w:autoSpaceDE/>
        <w:autoSpaceDN/>
        <w:bidi w:val="0"/>
        <w:adjustRightInd/>
        <w:snapToGrid/>
        <w:spacing w:before="0" w:after="0" w:line="560" w:lineRule="exact"/>
        <w:textAlignment w:val="auto"/>
        <w:rPr>
          <w:rFonts w:hint="eastAsia" w:ascii="仿宋_GB2312" w:hAnsi="仿宋_GB2312" w:eastAsia="仿宋_GB2312" w:cs="仿宋_GB2312"/>
          <w:b w:val="0"/>
          <w:bCs w:val="0"/>
          <w:sz w:val="32"/>
          <w:szCs w:val="32"/>
        </w:rPr>
      </w:pPr>
      <w:bookmarkStart w:id="76" w:name="_Toc15396622"/>
      <w:bookmarkStart w:id="77" w:name="_Toc18814"/>
      <w:r>
        <w:rPr>
          <w:rFonts w:hint="eastAsia" w:ascii="仿宋_GB2312" w:hAnsi="仿宋_GB2312" w:eastAsia="仿宋_GB2312" w:cs="仿宋_GB2312"/>
          <w:b w:val="0"/>
          <w:bCs w:val="0"/>
          <w:sz w:val="32"/>
          <w:szCs w:val="32"/>
        </w:rPr>
        <w:t>四、财政拨款收入支出决算总表</w:t>
      </w:r>
      <w:bookmarkEnd w:id="76"/>
      <w:bookmarkEnd w:id="77"/>
    </w:p>
    <w:p w14:paraId="1F3EC1C8">
      <w:pPr>
        <w:pStyle w:val="3"/>
        <w:keepNext/>
        <w:keepLines/>
        <w:pageBreakBefore w:val="0"/>
        <w:widowControl w:val="0"/>
        <w:kinsoku/>
        <w:wordWrap/>
        <w:overflowPunct/>
        <w:topLinePunct w:val="0"/>
        <w:autoSpaceDE/>
        <w:autoSpaceDN/>
        <w:bidi w:val="0"/>
        <w:adjustRightInd/>
        <w:snapToGrid/>
        <w:spacing w:before="0" w:after="0" w:line="560" w:lineRule="exact"/>
        <w:textAlignment w:val="auto"/>
        <w:rPr>
          <w:rFonts w:hint="eastAsia" w:ascii="仿宋_GB2312" w:hAnsi="仿宋_GB2312" w:eastAsia="仿宋_GB2312" w:cs="仿宋_GB2312"/>
          <w:b w:val="0"/>
          <w:bCs w:val="0"/>
          <w:sz w:val="32"/>
          <w:szCs w:val="32"/>
        </w:rPr>
      </w:pPr>
      <w:bookmarkStart w:id="78" w:name="_Toc15396623"/>
      <w:bookmarkStart w:id="79" w:name="_Toc19384"/>
      <w:r>
        <w:rPr>
          <w:rFonts w:hint="eastAsia" w:ascii="仿宋_GB2312" w:hAnsi="仿宋_GB2312" w:eastAsia="仿宋_GB2312" w:cs="仿宋_GB2312"/>
          <w:b w:val="0"/>
          <w:bCs w:val="0"/>
          <w:sz w:val="32"/>
          <w:szCs w:val="32"/>
        </w:rPr>
        <w:t>五、财政拨款支出决算明细表</w:t>
      </w:r>
      <w:bookmarkEnd w:id="78"/>
      <w:bookmarkEnd w:id="79"/>
      <w:bookmarkStart w:id="80" w:name="_Toc15396624"/>
    </w:p>
    <w:p w14:paraId="1A118EA3">
      <w:pPr>
        <w:pStyle w:val="3"/>
        <w:keepNext/>
        <w:keepLines/>
        <w:pageBreakBefore w:val="0"/>
        <w:widowControl w:val="0"/>
        <w:kinsoku/>
        <w:wordWrap/>
        <w:overflowPunct/>
        <w:topLinePunct w:val="0"/>
        <w:autoSpaceDE/>
        <w:autoSpaceDN/>
        <w:bidi w:val="0"/>
        <w:adjustRightInd/>
        <w:snapToGrid/>
        <w:spacing w:before="0" w:after="0" w:line="560" w:lineRule="exact"/>
        <w:textAlignment w:val="auto"/>
        <w:rPr>
          <w:rFonts w:hint="eastAsia" w:ascii="仿宋_GB2312" w:hAnsi="仿宋_GB2312" w:eastAsia="仿宋_GB2312" w:cs="仿宋_GB2312"/>
          <w:b w:val="0"/>
          <w:bCs w:val="0"/>
          <w:sz w:val="32"/>
          <w:szCs w:val="32"/>
        </w:rPr>
      </w:pPr>
      <w:bookmarkStart w:id="81" w:name="_Toc31559"/>
      <w:r>
        <w:rPr>
          <w:rFonts w:hint="eastAsia" w:ascii="仿宋_GB2312" w:hAnsi="仿宋_GB2312" w:eastAsia="仿宋_GB2312" w:cs="仿宋_GB2312"/>
          <w:b w:val="0"/>
          <w:bCs w:val="0"/>
          <w:sz w:val="32"/>
          <w:szCs w:val="32"/>
        </w:rPr>
        <w:t>六、一般公共预算财政拨款支出决算表</w:t>
      </w:r>
      <w:bookmarkEnd w:id="80"/>
      <w:bookmarkEnd w:id="81"/>
    </w:p>
    <w:p w14:paraId="50CE89F7">
      <w:pPr>
        <w:pStyle w:val="3"/>
        <w:keepNext/>
        <w:keepLines/>
        <w:pageBreakBefore w:val="0"/>
        <w:widowControl w:val="0"/>
        <w:kinsoku/>
        <w:wordWrap/>
        <w:overflowPunct/>
        <w:topLinePunct w:val="0"/>
        <w:autoSpaceDE/>
        <w:autoSpaceDN/>
        <w:bidi w:val="0"/>
        <w:adjustRightInd/>
        <w:snapToGrid/>
        <w:spacing w:before="0" w:after="0" w:line="560" w:lineRule="exact"/>
        <w:textAlignment w:val="auto"/>
        <w:rPr>
          <w:rFonts w:hint="eastAsia" w:ascii="仿宋_GB2312" w:hAnsi="仿宋_GB2312" w:eastAsia="仿宋_GB2312" w:cs="仿宋_GB2312"/>
          <w:b w:val="0"/>
          <w:bCs w:val="0"/>
          <w:sz w:val="32"/>
          <w:szCs w:val="32"/>
        </w:rPr>
      </w:pPr>
      <w:bookmarkStart w:id="82" w:name="_Toc15396625"/>
      <w:bookmarkStart w:id="83" w:name="_Toc21524"/>
      <w:r>
        <w:rPr>
          <w:rFonts w:hint="eastAsia" w:ascii="仿宋_GB2312" w:hAnsi="仿宋_GB2312" w:eastAsia="仿宋_GB2312" w:cs="仿宋_GB2312"/>
          <w:b w:val="0"/>
          <w:bCs w:val="0"/>
          <w:sz w:val="32"/>
          <w:szCs w:val="32"/>
        </w:rPr>
        <w:t>七、一般公共预算财政拨款支出决算明细表</w:t>
      </w:r>
      <w:bookmarkEnd w:id="82"/>
      <w:bookmarkEnd w:id="83"/>
    </w:p>
    <w:p w14:paraId="3D04D141">
      <w:pPr>
        <w:pStyle w:val="3"/>
        <w:keepNext/>
        <w:keepLines/>
        <w:pageBreakBefore w:val="0"/>
        <w:widowControl w:val="0"/>
        <w:kinsoku/>
        <w:wordWrap/>
        <w:overflowPunct/>
        <w:topLinePunct w:val="0"/>
        <w:autoSpaceDE/>
        <w:autoSpaceDN/>
        <w:bidi w:val="0"/>
        <w:adjustRightInd/>
        <w:snapToGrid/>
        <w:spacing w:before="0" w:after="0" w:line="560" w:lineRule="exact"/>
        <w:textAlignment w:val="auto"/>
        <w:rPr>
          <w:rFonts w:hint="eastAsia" w:ascii="仿宋_GB2312" w:hAnsi="仿宋_GB2312" w:eastAsia="仿宋_GB2312" w:cs="仿宋_GB2312"/>
          <w:b w:val="0"/>
          <w:bCs w:val="0"/>
          <w:sz w:val="32"/>
          <w:szCs w:val="32"/>
        </w:rPr>
      </w:pPr>
      <w:bookmarkStart w:id="84" w:name="_Toc15396626"/>
      <w:bookmarkStart w:id="85" w:name="_Toc13489"/>
      <w:r>
        <w:rPr>
          <w:rFonts w:hint="eastAsia" w:ascii="仿宋_GB2312" w:hAnsi="仿宋_GB2312" w:eastAsia="仿宋_GB2312" w:cs="仿宋_GB2312"/>
          <w:b w:val="0"/>
          <w:bCs w:val="0"/>
          <w:sz w:val="32"/>
          <w:szCs w:val="32"/>
        </w:rPr>
        <w:t>八、一般公共预算财政拨款基本支出决算表</w:t>
      </w:r>
      <w:bookmarkEnd w:id="84"/>
      <w:bookmarkEnd w:id="85"/>
    </w:p>
    <w:p w14:paraId="6604B8DE">
      <w:pPr>
        <w:pStyle w:val="3"/>
        <w:keepNext/>
        <w:keepLines/>
        <w:pageBreakBefore w:val="0"/>
        <w:widowControl w:val="0"/>
        <w:kinsoku/>
        <w:wordWrap/>
        <w:overflowPunct/>
        <w:topLinePunct w:val="0"/>
        <w:autoSpaceDE/>
        <w:autoSpaceDN/>
        <w:bidi w:val="0"/>
        <w:adjustRightInd/>
        <w:snapToGrid/>
        <w:spacing w:before="0" w:after="0" w:line="560" w:lineRule="exact"/>
        <w:textAlignment w:val="auto"/>
        <w:rPr>
          <w:rFonts w:hint="eastAsia" w:ascii="仿宋_GB2312" w:hAnsi="仿宋_GB2312" w:eastAsia="仿宋_GB2312" w:cs="仿宋_GB2312"/>
          <w:b w:val="0"/>
          <w:bCs w:val="0"/>
          <w:sz w:val="32"/>
          <w:szCs w:val="32"/>
        </w:rPr>
      </w:pPr>
      <w:bookmarkStart w:id="86" w:name="_Toc15396627"/>
      <w:bookmarkStart w:id="87" w:name="_Toc11648"/>
      <w:r>
        <w:rPr>
          <w:rFonts w:hint="eastAsia" w:ascii="仿宋_GB2312" w:hAnsi="仿宋_GB2312" w:eastAsia="仿宋_GB2312" w:cs="仿宋_GB2312"/>
          <w:b w:val="0"/>
          <w:bCs w:val="0"/>
          <w:sz w:val="32"/>
          <w:szCs w:val="32"/>
        </w:rPr>
        <w:t>九、一般公共预算财政拨款项目支出决算表</w:t>
      </w:r>
      <w:bookmarkEnd w:id="86"/>
      <w:bookmarkEnd w:id="87"/>
    </w:p>
    <w:p w14:paraId="4F05F816">
      <w:pPr>
        <w:pStyle w:val="3"/>
        <w:keepNext/>
        <w:keepLines/>
        <w:pageBreakBefore w:val="0"/>
        <w:widowControl w:val="0"/>
        <w:kinsoku/>
        <w:wordWrap/>
        <w:overflowPunct/>
        <w:topLinePunct w:val="0"/>
        <w:autoSpaceDE/>
        <w:autoSpaceDN/>
        <w:bidi w:val="0"/>
        <w:adjustRightInd/>
        <w:snapToGrid/>
        <w:spacing w:before="0" w:after="0" w:line="560" w:lineRule="exact"/>
        <w:textAlignment w:val="auto"/>
        <w:rPr>
          <w:rFonts w:hint="eastAsia" w:ascii="仿宋_GB2312" w:hAnsi="仿宋_GB2312" w:eastAsia="仿宋_GB2312" w:cs="仿宋_GB2312"/>
          <w:b w:val="0"/>
          <w:bCs w:val="0"/>
          <w:sz w:val="32"/>
          <w:szCs w:val="32"/>
        </w:rPr>
      </w:pPr>
      <w:bookmarkStart w:id="88" w:name="_Toc15396628"/>
      <w:bookmarkStart w:id="89" w:name="_Toc8207"/>
      <w:r>
        <w:rPr>
          <w:rFonts w:hint="eastAsia" w:ascii="仿宋_GB2312" w:hAnsi="仿宋_GB2312" w:eastAsia="仿宋_GB2312" w:cs="仿宋_GB2312"/>
          <w:b w:val="0"/>
          <w:bCs w:val="0"/>
          <w:sz w:val="32"/>
          <w:szCs w:val="32"/>
        </w:rPr>
        <w:t>十、</w:t>
      </w:r>
      <w:bookmarkEnd w:id="88"/>
      <w:r>
        <w:rPr>
          <w:rFonts w:hint="eastAsia" w:ascii="仿宋_GB2312" w:hAnsi="仿宋_GB2312" w:eastAsia="仿宋_GB2312" w:cs="仿宋_GB2312"/>
          <w:b w:val="0"/>
          <w:bCs w:val="0"/>
          <w:sz w:val="32"/>
          <w:szCs w:val="32"/>
        </w:rPr>
        <w:t>政府性基金预算财政拨款收入支出决算表</w:t>
      </w:r>
      <w:bookmarkEnd w:id="89"/>
    </w:p>
    <w:p w14:paraId="1B75A1C0">
      <w:pPr>
        <w:pStyle w:val="3"/>
        <w:keepNext/>
        <w:keepLines/>
        <w:pageBreakBefore w:val="0"/>
        <w:widowControl w:val="0"/>
        <w:kinsoku/>
        <w:wordWrap/>
        <w:overflowPunct/>
        <w:topLinePunct w:val="0"/>
        <w:autoSpaceDE/>
        <w:autoSpaceDN/>
        <w:bidi w:val="0"/>
        <w:adjustRightInd/>
        <w:snapToGrid/>
        <w:spacing w:before="0" w:after="0" w:line="560" w:lineRule="exact"/>
        <w:textAlignment w:val="auto"/>
        <w:rPr>
          <w:rFonts w:hint="eastAsia" w:ascii="仿宋_GB2312" w:hAnsi="仿宋_GB2312" w:eastAsia="仿宋_GB2312" w:cs="仿宋_GB2312"/>
          <w:b w:val="0"/>
          <w:bCs w:val="0"/>
          <w:sz w:val="32"/>
          <w:szCs w:val="32"/>
        </w:rPr>
      </w:pPr>
      <w:bookmarkStart w:id="90" w:name="_Toc15396629"/>
      <w:bookmarkStart w:id="91" w:name="_Toc27292"/>
      <w:r>
        <w:rPr>
          <w:rFonts w:hint="eastAsia" w:ascii="仿宋_GB2312" w:hAnsi="仿宋_GB2312" w:eastAsia="仿宋_GB2312" w:cs="仿宋_GB2312"/>
          <w:b w:val="0"/>
          <w:bCs w:val="0"/>
          <w:sz w:val="32"/>
          <w:szCs w:val="32"/>
        </w:rPr>
        <w:t>十一、</w:t>
      </w:r>
      <w:bookmarkEnd w:id="90"/>
      <w:r>
        <w:rPr>
          <w:rFonts w:hint="eastAsia" w:ascii="仿宋_GB2312" w:hAnsi="仿宋_GB2312" w:eastAsia="仿宋_GB2312" w:cs="仿宋_GB2312"/>
          <w:b w:val="0"/>
          <w:bCs w:val="0"/>
          <w:sz w:val="32"/>
          <w:szCs w:val="32"/>
        </w:rPr>
        <w:t>国有资本经营预算</w:t>
      </w:r>
      <w:r>
        <w:rPr>
          <w:rFonts w:hint="eastAsia" w:ascii="仿宋_GB2312" w:hAnsi="仿宋_GB2312" w:eastAsia="仿宋_GB2312" w:cs="仿宋_GB2312"/>
          <w:b w:val="0"/>
          <w:bCs w:val="0"/>
          <w:sz w:val="32"/>
          <w:szCs w:val="32"/>
          <w:lang w:eastAsia="zh-CN"/>
        </w:rPr>
        <w:t>财政拨款收入</w:t>
      </w:r>
      <w:r>
        <w:rPr>
          <w:rFonts w:hint="eastAsia" w:ascii="仿宋_GB2312" w:hAnsi="仿宋_GB2312" w:eastAsia="仿宋_GB2312" w:cs="仿宋_GB2312"/>
          <w:b w:val="0"/>
          <w:bCs w:val="0"/>
          <w:sz w:val="32"/>
          <w:szCs w:val="32"/>
        </w:rPr>
        <w:t>支出决算表</w:t>
      </w:r>
      <w:bookmarkEnd w:id="91"/>
    </w:p>
    <w:p w14:paraId="4D416EAD">
      <w:pPr>
        <w:pStyle w:val="3"/>
        <w:keepNext/>
        <w:keepLines/>
        <w:pageBreakBefore w:val="0"/>
        <w:widowControl w:val="0"/>
        <w:kinsoku/>
        <w:wordWrap/>
        <w:overflowPunct/>
        <w:topLinePunct w:val="0"/>
        <w:autoSpaceDE/>
        <w:autoSpaceDN/>
        <w:bidi w:val="0"/>
        <w:adjustRightInd/>
        <w:snapToGrid/>
        <w:spacing w:before="0" w:after="0" w:line="560" w:lineRule="exact"/>
        <w:textAlignment w:val="auto"/>
        <w:rPr>
          <w:rFonts w:hint="eastAsia" w:ascii="仿宋_GB2312" w:hAnsi="仿宋_GB2312" w:eastAsia="仿宋_GB2312" w:cs="仿宋_GB2312"/>
          <w:b w:val="0"/>
          <w:bCs w:val="0"/>
          <w:sz w:val="32"/>
          <w:szCs w:val="32"/>
        </w:rPr>
      </w:pPr>
      <w:bookmarkStart w:id="92" w:name="_Toc15396630"/>
      <w:bookmarkStart w:id="93" w:name="_Toc14519"/>
      <w:r>
        <w:rPr>
          <w:rFonts w:hint="eastAsia" w:ascii="仿宋_GB2312" w:hAnsi="仿宋_GB2312" w:eastAsia="仿宋_GB2312" w:cs="仿宋_GB2312"/>
          <w:b w:val="0"/>
          <w:bCs w:val="0"/>
          <w:sz w:val="32"/>
          <w:szCs w:val="32"/>
        </w:rPr>
        <w:t>十二、</w:t>
      </w:r>
      <w:bookmarkEnd w:id="92"/>
      <w:r>
        <w:rPr>
          <w:rFonts w:hint="eastAsia" w:ascii="仿宋_GB2312" w:hAnsi="仿宋_GB2312" w:eastAsia="仿宋_GB2312" w:cs="仿宋_GB2312"/>
          <w:b w:val="0"/>
          <w:bCs w:val="0"/>
          <w:sz w:val="32"/>
          <w:szCs w:val="32"/>
          <w:lang w:eastAsia="zh-CN"/>
        </w:rPr>
        <w:t>国有资本经营预算财政拨款支出决算表</w:t>
      </w:r>
      <w:bookmarkEnd w:id="93"/>
    </w:p>
    <w:p w14:paraId="10E141B4">
      <w:pPr>
        <w:pStyle w:val="3"/>
        <w:keepNext/>
        <w:keepLines/>
        <w:pageBreakBefore w:val="0"/>
        <w:widowControl w:val="0"/>
        <w:kinsoku/>
        <w:wordWrap/>
        <w:overflowPunct/>
        <w:topLinePunct w:val="0"/>
        <w:autoSpaceDE/>
        <w:autoSpaceDN/>
        <w:bidi w:val="0"/>
        <w:adjustRightInd/>
        <w:snapToGrid/>
        <w:spacing w:before="0" w:after="0" w:line="560" w:lineRule="exact"/>
        <w:textAlignment w:val="auto"/>
        <w:rPr>
          <w:rFonts w:hint="eastAsia" w:ascii="仿宋_GB2312" w:hAnsi="仿宋_GB2312" w:eastAsia="仿宋_GB2312" w:cs="仿宋_GB2312"/>
          <w:b w:val="0"/>
          <w:bCs w:val="0"/>
          <w:sz w:val="32"/>
          <w:szCs w:val="32"/>
          <w:lang w:eastAsia="zh-CN"/>
        </w:rPr>
      </w:pPr>
      <w:bookmarkStart w:id="94" w:name="_Toc15396631"/>
      <w:bookmarkStart w:id="95" w:name="_Toc18388"/>
      <w:r>
        <w:rPr>
          <w:rFonts w:hint="eastAsia" w:ascii="仿宋_GB2312" w:hAnsi="仿宋_GB2312" w:eastAsia="仿宋_GB2312" w:cs="仿宋_GB2312"/>
          <w:b w:val="0"/>
          <w:bCs w:val="0"/>
          <w:sz w:val="32"/>
          <w:szCs w:val="32"/>
        </w:rPr>
        <w:t>十三、</w:t>
      </w:r>
      <w:bookmarkEnd w:id="94"/>
      <w:r>
        <w:rPr>
          <w:rFonts w:hint="eastAsia" w:ascii="仿宋_GB2312" w:hAnsi="仿宋_GB2312" w:eastAsia="仿宋_GB2312" w:cs="仿宋_GB2312"/>
          <w:b w:val="0"/>
          <w:bCs w:val="0"/>
          <w:sz w:val="32"/>
          <w:szCs w:val="32"/>
          <w:lang w:eastAsia="zh-CN"/>
        </w:rPr>
        <w:t>财政拨款“三公”经费支出决算表</w:t>
      </w:r>
      <w:bookmarkEnd w:id="95"/>
    </w:p>
    <w:p w14:paraId="67919E48">
      <w:pPr>
        <w:rPr>
          <w:rFonts w:hint="eastAsia" w:ascii="仿宋_GB2312" w:hAnsi="仿宋_GB2312" w:eastAsia="仿宋_GB2312" w:cs="仿宋_GB2312"/>
          <w:sz w:val="32"/>
          <w:szCs w:val="32"/>
          <w:lang w:eastAsia="zh-CN"/>
        </w:rPr>
      </w:pPr>
    </w:p>
    <w:sectPr>
      <w:footerReference r:id="rId7" w:type="first"/>
      <w:footerReference r:id="rId6" w:type="default"/>
      <w:pgSz w:w="11906" w:h="16838"/>
      <w:pgMar w:top="1440" w:right="1800" w:bottom="1440" w:left="1800" w:header="851" w:footer="992" w:gutter="0"/>
      <w:pgNumType w:fmt="decimal" w:start="1"/>
      <w:cols w:space="425"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
    <w:altName w:val="Segoe Print"/>
    <w:panose1 w:val="00000000000000000000"/>
    <w:charset w:val="00"/>
    <w:family w:val="roman"/>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方正小标宋简体">
    <w:panose1 w:val="03000509000000000000"/>
    <w:charset w:val="86"/>
    <w:family w:val="script"/>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6A005CA">
    <w:pPr>
      <w:pStyle w:val="10"/>
      <w:jc w:val="center"/>
    </w:pPr>
  </w:p>
  <w:p w14:paraId="7576DCA4">
    <w:pPr>
      <w:pStyle w:val="1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067AB6E">
    <w:pPr>
      <w:pStyle w:val="1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46541C6">
    <w:pPr>
      <w:pStyle w:val="10"/>
      <w:jc w:val="cente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4" name="文本框 1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3B581EB">
                          <w:pPr>
                            <w:pStyle w:val="10"/>
                          </w:pPr>
                          <w:r>
                            <w:fldChar w:fldCharType="begin"/>
                          </w:r>
                          <w:r>
                            <w:instrText xml:space="preserve"> PAGE  \* MERGEFORMAT </w:instrText>
                          </w:r>
                          <w:r>
                            <w:fldChar w:fldCharType="separate"/>
                          </w:r>
                          <w:r>
                            <w:t>- 2 -</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IwUTnTICAABjBAAADgAAAAAAAAABACAAAAAfAQAAZHJzL2Uyb0RvYy54bWxQSwUG&#10;AAAAAAYABgBZAQAAwwUAAAAA&#10;">
              <v:fill on="f" focussize="0,0"/>
              <v:stroke on="f" weight="0.5pt"/>
              <v:imagedata o:title=""/>
              <o:lock v:ext="edit" aspectratio="f"/>
              <v:textbox inset="0mm,0mm,0mm,0mm" style="mso-fit-shape-to-text:t;">
                <w:txbxContent>
                  <w:p w14:paraId="13B581EB">
                    <w:pPr>
                      <w:pStyle w:val="10"/>
                    </w:pPr>
                    <w:r>
                      <w:fldChar w:fldCharType="begin"/>
                    </w:r>
                    <w:r>
                      <w:instrText xml:space="preserve"> PAGE  \* MERGEFORMAT </w:instrText>
                    </w:r>
                    <w:r>
                      <w:fldChar w:fldCharType="separate"/>
                    </w:r>
                    <w:r>
                      <w:t>- 2 -</w:t>
                    </w:r>
                    <w:r>
                      <w:fldChar w:fldCharType="end"/>
                    </w:r>
                  </w:p>
                </w:txbxContent>
              </v:textbox>
            </v:shape>
          </w:pict>
        </mc:Fallback>
      </mc:AlternateContent>
    </w:r>
  </w:p>
  <w:p w14:paraId="66E5F611">
    <w:pPr>
      <w:pStyle w:val="1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39BFD27">
    <w:pPr>
      <w:pStyle w:val="10"/>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15" name="文本框 1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A592CA5">
                          <w:pPr>
                            <w:pStyle w:val="10"/>
                          </w:pPr>
                          <w:r>
                            <w:fldChar w:fldCharType="begin"/>
                          </w:r>
                          <w:r>
                            <w:instrText xml:space="preserve"> PAGE  \* MERGEFORMAT </w:instrText>
                          </w:r>
                          <w:r>
                            <w:fldChar w:fldCharType="separate"/>
                          </w:r>
                          <w:r>
                            <w:t>- 1 -</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GGthHIzAgAAYwQAAA4AAAAAAAAAAQAgAAAAHwEAAGRycy9lMm9Eb2MueG1sUEsF&#10;BgAAAAAGAAYAWQEAAMQFAAAAAA==&#10;">
              <v:fill on="f" focussize="0,0"/>
              <v:stroke on="f" weight="0.5pt"/>
              <v:imagedata o:title=""/>
              <o:lock v:ext="edit" aspectratio="f"/>
              <v:textbox inset="0mm,0mm,0mm,0mm" style="mso-fit-shape-to-text:t;">
                <w:txbxContent>
                  <w:p w14:paraId="1A592CA5">
                    <w:pPr>
                      <w:pStyle w:val="10"/>
                    </w:pPr>
                    <w:r>
                      <w:fldChar w:fldCharType="begin"/>
                    </w:r>
                    <w:r>
                      <w:instrText xml:space="preserve"> PAGE  \* MERGEFORMAT </w:instrText>
                    </w:r>
                    <w:r>
                      <w:fldChar w:fldCharType="separate"/>
                    </w:r>
                    <w:r>
                      <w:t>- 1 -</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2AC813B">
    <w:pPr>
      <w:pStyle w:val="11"/>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4A1BE61"/>
    <w:multiLevelType w:val="singleLevel"/>
    <w:tmpl w:val="F4A1BE61"/>
    <w:lvl w:ilvl="0" w:tentative="0">
      <w:start w:val="1"/>
      <w:numFmt w:val="chineseCounting"/>
      <w:suff w:val="nothing"/>
      <w:lvlText w:val="%1、"/>
      <w:lvlJc w:val="left"/>
      <w:rPr>
        <w:rFonts w:hint="eastAsia"/>
      </w:rPr>
    </w:lvl>
  </w:abstractNum>
  <w:abstractNum w:abstractNumId="1">
    <w:nsid w:val="2A7D9521"/>
    <w:multiLevelType w:val="singleLevel"/>
    <w:tmpl w:val="2A7D9521"/>
    <w:lvl w:ilvl="0" w:tentative="0">
      <w:start w:val="3"/>
      <w:numFmt w:val="chineseCounting"/>
      <w:suff w:val="nothing"/>
      <w:lvlText w:val="（%1）"/>
      <w:lvlJc w:val="left"/>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1361C"/>
    <w:rsid w:val="000222C6"/>
    <w:rsid w:val="0002549F"/>
    <w:rsid w:val="000468DB"/>
    <w:rsid w:val="0006487A"/>
    <w:rsid w:val="00065F8F"/>
    <w:rsid w:val="00070A43"/>
    <w:rsid w:val="000768F2"/>
    <w:rsid w:val="0009184B"/>
    <w:rsid w:val="00094236"/>
    <w:rsid w:val="0009593C"/>
    <w:rsid w:val="00097322"/>
    <w:rsid w:val="000A6A92"/>
    <w:rsid w:val="000B047F"/>
    <w:rsid w:val="000B5923"/>
    <w:rsid w:val="000B5A48"/>
    <w:rsid w:val="000B6FF3"/>
    <w:rsid w:val="000C3467"/>
    <w:rsid w:val="000C3CA6"/>
    <w:rsid w:val="000D1267"/>
    <w:rsid w:val="000D1D50"/>
    <w:rsid w:val="000D5782"/>
    <w:rsid w:val="000E6613"/>
    <w:rsid w:val="000E7119"/>
    <w:rsid w:val="00114E9B"/>
    <w:rsid w:val="00142216"/>
    <w:rsid w:val="00144D6A"/>
    <w:rsid w:val="0014729F"/>
    <w:rsid w:val="00157BAB"/>
    <w:rsid w:val="001654D1"/>
    <w:rsid w:val="00174518"/>
    <w:rsid w:val="0018106D"/>
    <w:rsid w:val="001877A7"/>
    <w:rsid w:val="00191536"/>
    <w:rsid w:val="00196687"/>
    <w:rsid w:val="001C0962"/>
    <w:rsid w:val="001D7531"/>
    <w:rsid w:val="001E737D"/>
    <w:rsid w:val="001F0592"/>
    <w:rsid w:val="001F7506"/>
    <w:rsid w:val="002006CD"/>
    <w:rsid w:val="00202B36"/>
    <w:rsid w:val="00204B7A"/>
    <w:rsid w:val="00204CDE"/>
    <w:rsid w:val="0021101A"/>
    <w:rsid w:val="00220536"/>
    <w:rsid w:val="00235629"/>
    <w:rsid w:val="00260C38"/>
    <w:rsid w:val="002616C0"/>
    <w:rsid w:val="00265372"/>
    <w:rsid w:val="002662AA"/>
    <w:rsid w:val="00280496"/>
    <w:rsid w:val="00294DC9"/>
    <w:rsid w:val="00295495"/>
    <w:rsid w:val="002A31DE"/>
    <w:rsid w:val="002B2613"/>
    <w:rsid w:val="002D6D05"/>
    <w:rsid w:val="002F1818"/>
    <w:rsid w:val="002F567B"/>
    <w:rsid w:val="003216A9"/>
    <w:rsid w:val="00335A74"/>
    <w:rsid w:val="0036561B"/>
    <w:rsid w:val="0037013F"/>
    <w:rsid w:val="00380C92"/>
    <w:rsid w:val="003A484F"/>
    <w:rsid w:val="003A4883"/>
    <w:rsid w:val="003B0BE0"/>
    <w:rsid w:val="003B0C1B"/>
    <w:rsid w:val="003B688C"/>
    <w:rsid w:val="003C0291"/>
    <w:rsid w:val="003C39AE"/>
    <w:rsid w:val="003C7B60"/>
    <w:rsid w:val="003D0C0F"/>
    <w:rsid w:val="003D1FB2"/>
    <w:rsid w:val="003D66DA"/>
    <w:rsid w:val="003E1310"/>
    <w:rsid w:val="003E6F55"/>
    <w:rsid w:val="00406254"/>
    <w:rsid w:val="004223DE"/>
    <w:rsid w:val="00434489"/>
    <w:rsid w:val="00437085"/>
    <w:rsid w:val="00443880"/>
    <w:rsid w:val="004464F4"/>
    <w:rsid w:val="00471401"/>
    <w:rsid w:val="00473F31"/>
    <w:rsid w:val="0048263A"/>
    <w:rsid w:val="00487E5D"/>
    <w:rsid w:val="004A711F"/>
    <w:rsid w:val="004B199D"/>
    <w:rsid w:val="004B4690"/>
    <w:rsid w:val="004E0A2D"/>
    <w:rsid w:val="004E206B"/>
    <w:rsid w:val="004E6DF7"/>
    <w:rsid w:val="004F0FBD"/>
    <w:rsid w:val="00505A47"/>
    <w:rsid w:val="00512FDA"/>
    <w:rsid w:val="00520DA0"/>
    <w:rsid w:val="005664BB"/>
    <w:rsid w:val="00566FFA"/>
    <w:rsid w:val="0057481D"/>
    <w:rsid w:val="0058486E"/>
    <w:rsid w:val="00585B33"/>
    <w:rsid w:val="0059014D"/>
    <w:rsid w:val="005B5C64"/>
    <w:rsid w:val="005C5337"/>
    <w:rsid w:val="005C6BD0"/>
    <w:rsid w:val="005D1C8B"/>
    <w:rsid w:val="005D468D"/>
    <w:rsid w:val="005D5CED"/>
    <w:rsid w:val="005F1A4C"/>
    <w:rsid w:val="00605688"/>
    <w:rsid w:val="006070AF"/>
    <w:rsid w:val="00607E6C"/>
    <w:rsid w:val="006101B1"/>
    <w:rsid w:val="00614E44"/>
    <w:rsid w:val="0062270A"/>
    <w:rsid w:val="00622830"/>
    <w:rsid w:val="00623DA0"/>
    <w:rsid w:val="00630AEF"/>
    <w:rsid w:val="006325F8"/>
    <w:rsid w:val="00633463"/>
    <w:rsid w:val="00634C9A"/>
    <w:rsid w:val="006440E4"/>
    <w:rsid w:val="0066343B"/>
    <w:rsid w:val="00664777"/>
    <w:rsid w:val="006748A4"/>
    <w:rsid w:val="00681A31"/>
    <w:rsid w:val="00683E73"/>
    <w:rsid w:val="006A3141"/>
    <w:rsid w:val="006A5E34"/>
    <w:rsid w:val="006B2422"/>
    <w:rsid w:val="006B2B9A"/>
    <w:rsid w:val="006C1937"/>
    <w:rsid w:val="006F020C"/>
    <w:rsid w:val="007127B7"/>
    <w:rsid w:val="0071798E"/>
    <w:rsid w:val="007416B6"/>
    <w:rsid w:val="00746F48"/>
    <w:rsid w:val="0075404D"/>
    <w:rsid w:val="0076182A"/>
    <w:rsid w:val="00767B7E"/>
    <w:rsid w:val="007770C3"/>
    <w:rsid w:val="00784D24"/>
    <w:rsid w:val="00785FBA"/>
    <w:rsid w:val="00786E4A"/>
    <w:rsid w:val="007875EB"/>
    <w:rsid w:val="0079426B"/>
    <w:rsid w:val="007D1682"/>
    <w:rsid w:val="007D312A"/>
    <w:rsid w:val="007D3F19"/>
    <w:rsid w:val="007E23B0"/>
    <w:rsid w:val="007E23E5"/>
    <w:rsid w:val="007F1991"/>
    <w:rsid w:val="007F2C2F"/>
    <w:rsid w:val="007F55FC"/>
    <w:rsid w:val="007F5665"/>
    <w:rsid w:val="00800112"/>
    <w:rsid w:val="00813348"/>
    <w:rsid w:val="008253BB"/>
    <w:rsid w:val="0083706E"/>
    <w:rsid w:val="008408F6"/>
    <w:rsid w:val="008423A5"/>
    <w:rsid w:val="00850625"/>
    <w:rsid w:val="00853718"/>
    <w:rsid w:val="00855221"/>
    <w:rsid w:val="00860645"/>
    <w:rsid w:val="00871F71"/>
    <w:rsid w:val="00872FD8"/>
    <w:rsid w:val="00885AF4"/>
    <w:rsid w:val="008939CD"/>
    <w:rsid w:val="008B768C"/>
    <w:rsid w:val="008C4DB1"/>
    <w:rsid w:val="008C4EAF"/>
    <w:rsid w:val="008C5176"/>
    <w:rsid w:val="008C7FD0"/>
    <w:rsid w:val="008E1DE7"/>
    <w:rsid w:val="008E707C"/>
    <w:rsid w:val="00900B08"/>
    <w:rsid w:val="00902155"/>
    <w:rsid w:val="00902FA3"/>
    <w:rsid w:val="00923564"/>
    <w:rsid w:val="0092392E"/>
    <w:rsid w:val="009315F9"/>
    <w:rsid w:val="00933499"/>
    <w:rsid w:val="00935C98"/>
    <w:rsid w:val="00946945"/>
    <w:rsid w:val="00951248"/>
    <w:rsid w:val="0095152F"/>
    <w:rsid w:val="00954C49"/>
    <w:rsid w:val="00955E37"/>
    <w:rsid w:val="0097099F"/>
    <w:rsid w:val="00971997"/>
    <w:rsid w:val="00971FFC"/>
    <w:rsid w:val="0098660A"/>
    <w:rsid w:val="009931C3"/>
    <w:rsid w:val="009B2C43"/>
    <w:rsid w:val="009B4EAE"/>
    <w:rsid w:val="009B7573"/>
    <w:rsid w:val="009C22F4"/>
    <w:rsid w:val="009C2A4B"/>
    <w:rsid w:val="009C2E98"/>
    <w:rsid w:val="009D3447"/>
    <w:rsid w:val="009D4711"/>
    <w:rsid w:val="009F1185"/>
    <w:rsid w:val="009F18CD"/>
    <w:rsid w:val="009F2A13"/>
    <w:rsid w:val="009F7527"/>
    <w:rsid w:val="00A04EB0"/>
    <w:rsid w:val="00A13CC1"/>
    <w:rsid w:val="00A16847"/>
    <w:rsid w:val="00A237D8"/>
    <w:rsid w:val="00A268C4"/>
    <w:rsid w:val="00A307CD"/>
    <w:rsid w:val="00A331C8"/>
    <w:rsid w:val="00A40A00"/>
    <w:rsid w:val="00A4142F"/>
    <w:rsid w:val="00A422EB"/>
    <w:rsid w:val="00A45BB7"/>
    <w:rsid w:val="00A56DF2"/>
    <w:rsid w:val="00A56E6E"/>
    <w:rsid w:val="00A67AB5"/>
    <w:rsid w:val="00A733B2"/>
    <w:rsid w:val="00A741C2"/>
    <w:rsid w:val="00A91760"/>
    <w:rsid w:val="00A93B00"/>
    <w:rsid w:val="00A93C21"/>
    <w:rsid w:val="00AB64C9"/>
    <w:rsid w:val="00AC3C6A"/>
    <w:rsid w:val="00AD5620"/>
    <w:rsid w:val="00AD656B"/>
    <w:rsid w:val="00AD7C1B"/>
    <w:rsid w:val="00AE16BA"/>
    <w:rsid w:val="00AE1EBE"/>
    <w:rsid w:val="00B03C9D"/>
    <w:rsid w:val="00B060AE"/>
    <w:rsid w:val="00B10517"/>
    <w:rsid w:val="00B14E76"/>
    <w:rsid w:val="00B161B8"/>
    <w:rsid w:val="00B2048C"/>
    <w:rsid w:val="00B310B9"/>
    <w:rsid w:val="00B35F3F"/>
    <w:rsid w:val="00B36CBB"/>
    <w:rsid w:val="00B425E0"/>
    <w:rsid w:val="00B440AA"/>
    <w:rsid w:val="00B44B70"/>
    <w:rsid w:val="00B53C56"/>
    <w:rsid w:val="00B57DAF"/>
    <w:rsid w:val="00B77EA6"/>
    <w:rsid w:val="00B81598"/>
    <w:rsid w:val="00B841F1"/>
    <w:rsid w:val="00B944D6"/>
    <w:rsid w:val="00BB4DF0"/>
    <w:rsid w:val="00BC289F"/>
    <w:rsid w:val="00BC2D50"/>
    <w:rsid w:val="00BC5361"/>
    <w:rsid w:val="00BC5460"/>
    <w:rsid w:val="00BC6B50"/>
    <w:rsid w:val="00BD0E25"/>
    <w:rsid w:val="00BF5BD6"/>
    <w:rsid w:val="00C03E31"/>
    <w:rsid w:val="00C33E72"/>
    <w:rsid w:val="00C354B2"/>
    <w:rsid w:val="00C35554"/>
    <w:rsid w:val="00C42709"/>
    <w:rsid w:val="00C533CC"/>
    <w:rsid w:val="00C5751C"/>
    <w:rsid w:val="00C61BFC"/>
    <w:rsid w:val="00C62B85"/>
    <w:rsid w:val="00C65438"/>
    <w:rsid w:val="00C87FD8"/>
    <w:rsid w:val="00C91381"/>
    <w:rsid w:val="00C91CBB"/>
    <w:rsid w:val="00CB4E70"/>
    <w:rsid w:val="00CC09B6"/>
    <w:rsid w:val="00CC666F"/>
    <w:rsid w:val="00CD1E3F"/>
    <w:rsid w:val="00CE44F6"/>
    <w:rsid w:val="00CE49DA"/>
    <w:rsid w:val="00CE7B61"/>
    <w:rsid w:val="00D00095"/>
    <w:rsid w:val="00D114F0"/>
    <w:rsid w:val="00D20620"/>
    <w:rsid w:val="00D254F7"/>
    <w:rsid w:val="00D26091"/>
    <w:rsid w:val="00D2685C"/>
    <w:rsid w:val="00D34E7C"/>
    <w:rsid w:val="00D35489"/>
    <w:rsid w:val="00D36AFE"/>
    <w:rsid w:val="00D51276"/>
    <w:rsid w:val="00D7035F"/>
    <w:rsid w:val="00DA634F"/>
    <w:rsid w:val="00DA65AC"/>
    <w:rsid w:val="00DB1913"/>
    <w:rsid w:val="00DC410D"/>
    <w:rsid w:val="00DC5A81"/>
    <w:rsid w:val="00DC68CA"/>
    <w:rsid w:val="00DC7CBA"/>
    <w:rsid w:val="00DD73B7"/>
    <w:rsid w:val="00DF28BC"/>
    <w:rsid w:val="00DF34B9"/>
    <w:rsid w:val="00E01053"/>
    <w:rsid w:val="00E07ACF"/>
    <w:rsid w:val="00E331A1"/>
    <w:rsid w:val="00E33202"/>
    <w:rsid w:val="00E336A9"/>
    <w:rsid w:val="00E472B1"/>
    <w:rsid w:val="00E50624"/>
    <w:rsid w:val="00E54633"/>
    <w:rsid w:val="00E568DF"/>
    <w:rsid w:val="00E64269"/>
    <w:rsid w:val="00E82267"/>
    <w:rsid w:val="00E853CE"/>
    <w:rsid w:val="00E867B6"/>
    <w:rsid w:val="00EA010F"/>
    <w:rsid w:val="00ED1B63"/>
    <w:rsid w:val="00ED3C1F"/>
    <w:rsid w:val="00ED4085"/>
    <w:rsid w:val="00ED420E"/>
    <w:rsid w:val="00ED6FBE"/>
    <w:rsid w:val="00EE2F57"/>
    <w:rsid w:val="00EF4C34"/>
    <w:rsid w:val="00EF77C6"/>
    <w:rsid w:val="00F05438"/>
    <w:rsid w:val="00F1361C"/>
    <w:rsid w:val="00F156F0"/>
    <w:rsid w:val="00F160C7"/>
    <w:rsid w:val="00F2408F"/>
    <w:rsid w:val="00F240E9"/>
    <w:rsid w:val="00F36D8F"/>
    <w:rsid w:val="00F417B1"/>
    <w:rsid w:val="00F45853"/>
    <w:rsid w:val="00F602DF"/>
    <w:rsid w:val="00F754A1"/>
    <w:rsid w:val="00F81FD9"/>
    <w:rsid w:val="00F841AA"/>
    <w:rsid w:val="00F84A94"/>
    <w:rsid w:val="00F87E96"/>
    <w:rsid w:val="00FA23E8"/>
    <w:rsid w:val="00FD3CC1"/>
    <w:rsid w:val="00FF1E02"/>
    <w:rsid w:val="00FF30B4"/>
    <w:rsid w:val="012A5EC2"/>
    <w:rsid w:val="015975B8"/>
    <w:rsid w:val="01B52C88"/>
    <w:rsid w:val="02FEBE30"/>
    <w:rsid w:val="03157416"/>
    <w:rsid w:val="04916F1E"/>
    <w:rsid w:val="054E2574"/>
    <w:rsid w:val="061E35DE"/>
    <w:rsid w:val="066E0107"/>
    <w:rsid w:val="074B5F02"/>
    <w:rsid w:val="077400BC"/>
    <w:rsid w:val="07746409"/>
    <w:rsid w:val="07996F6E"/>
    <w:rsid w:val="07DFD8BA"/>
    <w:rsid w:val="097A131C"/>
    <w:rsid w:val="09867E8F"/>
    <w:rsid w:val="0A2032A3"/>
    <w:rsid w:val="0A8105CF"/>
    <w:rsid w:val="0BE00FAB"/>
    <w:rsid w:val="0C9E2F22"/>
    <w:rsid w:val="0CA81144"/>
    <w:rsid w:val="0CA8290A"/>
    <w:rsid w:val="0D35B1ED"/>
    <w:rsid w:val="0E254B6B"/>
    <w:rsid w:val="0EB3315F"/>
    <w:rsid w:val="0F8E1282"/>
    <w:rsid w:val="0F98263C"/>
    <w:rsid w:val="101860EC"/>
    <w:rsid w:val="101F47CC"/>
    <w:rsid w:val="10C055FF"/>
    <w:rsid w:val="10E87CA5"/>
    <w:rsid w:val="11694EBD"/>
    <w:rsid w:val="11772AA4"/>
    <w:rsid w:val="118107EC"/>
    <w:rsid w:val="12394ECF"/>
    <w:rsid w:val="12E24EE2"/>
    <w:rsid w:val="13225B6C"/>
    <w:rsid w:val="13D50BC4"/>
    <w:rsid w:val="13E470BD"/>
    <w:rsid w:val="13FB6900"/>
    <w:rsid w:val="14B17F78"/>
    <w:rsid w:val="15C37152"/>
    <w:rsid w:val="16552082"/>
    <w:rsid w:val="165E0673"/>
    <w:rsid w:val="16B831D5"/>
    <w:rsid w:val="16BB723D"/>
    <w:rsid w:val="17E50567"/>
    <w:rsid w:val="18601953"/>
    <w:rsid w:val="186504BB"/>
    <w:rsid w:val="19400841"/>
    <w:rsid w:val="19A445FC"/>
    <w:rsid w:val="1A3949C4"/>
    <w:rsid w:val="1A911621"/>
    <w:rsid w:val="1BCF0E7C"/>
    <w:rsid w:val="1BE8440E"/>
    <w:rsid w:val="1C1B24AA"/>
    <w:rsid w:val="1D155CEE"/>
    <w:rsid w:val="1D1638FE"/>
    <w:rsid w:val="1D7C0510"/>
    <w:rsid w:val="1E312DEB"/>
    <w:rsid w:val="1E740ACF"/>
    <w:rsid w:val="1FF35744"/>
    <w:rsid w:val="1FF6BC77"/>
    <w:rsid w:val="213A039E"/>
    <w:rsid w:val="2186353C"/>
    <w:rsid w:val="21E87AF3"/>
    <w:rsid w:val="226A2E83"/>
    <w:rsid w:val="22E9024C"/>
    <w:rsid w:val="23860B96"/>
    <w:rsid w:val="23A23EE5"/>
    <w:rsid w:val="240371BF"/>
    <w:rsid w:val="240B2444"/>
    <w:rsid w:val="243A3AB5"/>
    <w:rsid w:val="244F3473"/>
    <w:rsid w:val="24594F5D"/>
    <w:rsid w:val="24C97D99"/>
    <w:rsid w:val="250639F8"/>
    <w:rsid w:val="25344AAA"/>
    <w:rsid w:val="254C13A3"/>
    <w:rsid w:val="25A718F0"/>
    <w:rsid w:val="25BB59F6"/>
    <w:rsid w:val="260F557C"/>
    <w:rsid w:val="267E4F9C"/>
    <w:rsid w:val="26970054"/>
    <w:rsid w:val="27144AC6"/>
    <w:rsid w:val="27400503"/>
    <w:rsid w:val="281408E2"/>
    <w:rsid w:val="28B112A5"/>
    <w:rsid w:val="28C35E9E"/>
    <w:rsid w:val="29FD04D3"/>
    <w:rsid w:val="2A811F73"/>
    <w:rsid w:val="2AC5334C"/>
    <w:rsid w:val="2B3D5D48"/>
    <w:rsid w:val="2BC8584E"/>
    <w:rsid w:val="2BFF7BC6"/>
    <w:rsid w:val="2C8A61B5"/>
    <w:rsid w:val="2C8E362F"/>
    <w:rsid w:val="2C973D5C"/>
    <w:rsid w:val="2DF04E50"/>
    <w:rsid w:val="2E586DFA"/>
    <w:rsid w:val="2E664DC2"/>
    <w:rsid w:val="2EC825D3"/>
    <w:rsid w:val="2F040D46"/>
    <w:rsid w:val="2F6B035B"/>
    <w:rsid w:val="2FAE5751"/>
    <w:rsid w:val="2FB1A395"/>
    <w:rsid w:val="2FCC0A00"/>
    <w:rsid w:val="2FCF33B1"/>
    <w:rsid w:val="2FD9A7D8"/>
    <w:rsid w:val="2FDBF714"/>
    <w:rsid w:val="30536C54"/>
    <w:rsid w:val="30AB6865"/>
    <w:rsid w:val="30D51D17"/>
    <w:rsid w:val="319F7F4E"/>
    <w:rsid w:val="31F74AE9"/>
    <w:rsid w:val="32BD1EF1"/>
    <w:rsid w:val="3304709D"/>
    <w:rsid w:val="334A50DB"/>
    <w:rsid w:val="33A773CB"/>
    <w:rsid w:val="33E222C5"/>
    <w:rsid w:val="349D6851"/>
    <w:rsid w:val="34D26421"/>
    <w:rsid w:val="35B446E9"/>
    <w:rsid w:val="36AA5135"/>
    <w:rsid w:val="36BE0DA7"/>
    <w:rsid w:val="37361ECE"/>
    <w:rsid w:val="376B6AA6"/>
    <w:rsid w:val="376D39B2"/>
    <w:rsid w:val="37E16F03"/>
    <w:rsid w:val="37F53A3B"/>
    <w:rsid w:val="3874658A"/>
    <w:rsid w:val="389B6C89"/>
    <w:rsid w:val="38D469F0"/>
    <w:rsid w:val="39627CCD"/>
    <w:rsid w:val="397BAF1F"/>
    <w:rsid w:val="3AB79AF3"/>
    <w:rsid w:val="3AC62558"/>
    <w:rsid w:val="3AE834C0"/>
    <w:rsid w:val="3B4C64A6"/>
    <w:rsid w:val="3B7EF35A"/>
    <w:rsid w:val="3B9FDB6C"/>
    <w:rsid w:val="3BA36271"/>
    <w:rsid w:val="3BF5BC2F"/>
    <w:rsid w:val="3CEBA265"/>
    <w:rsid w:val="3D0A3ABB"/>
    <w:rsid w:val="3D98207C"/>
    <w:rsid w:val="3DEE7CF3"/>
    <w:rsid w:val="3E740A63"/>
    <w:rsid w:val="3E78745D"/>
    <w:rsid w:val="3EE17838"/>
    <w:rsid w:val="3EFF4804"/>
    <w:rsid w:val="3F55381A"/>
    <w:rsid w:val="3F7F7599"/>
    <w:rsid w:val="3FF4CAE0"/>
    <w:rsid w:val="3FF7B227"/>
    <w:rsid w:val="40D167BF"/>
    <w:rsid w:val="417912E9"/>
    <w:rsid w:val="419147E9"/>
    <w:rsid w:val="42D66DCA"/>
    <w:rsid w:val="44E268DA"/>
    <w:rsid w:val="44EF4B92"/>
    <w:rsid w:val="450D13D7"/>
    <w:rsid w:val="45506656"/>
    <w:rsid w:val="47C537F9"/>
    <w:rsid w:val="486A6C7A"/>
    <w:rsid w:val="4996491A"/>
    <w:rsid w:val="4A627F82"/>
    <w:rsid w:val="4A8731BE"/>
    <w:rsid w:val="4A8B6CBC"/>
    <w:rsid w:val="4B0E749A"/>
    <w:rsid w:val="4B1279E2"/>
    <w:rsid w:val="4B2477C4"/>
    <w:rsid w:val="4B4F25DA"/>
    <w:rsid w:val="4B581264"/>
    <w:rsid w:val="4BE068DB"/>
    <w:rsid w:val="4CD56065"/>
    <w:rsid w:val="4D577224"/>
    <w:rsid w:val="4DBF1CEB"/>
    <w:rsid w:val="4DF0007C"/>
    <w:rsid w:val="4EAB630A"/>
    <w:rsid w:val="4ECE2238"/>
    <w:rsid w:val="4F833267"/>
    <w:rsid w:val="4FE9BD67"/>
    <w:rsid w:val="4FFB052F"/>
    <w:rsid w:val="501C4F0D"/>
    <w:rsid w:val="50706693"/>
    <w:rsid w:val="521E1871"/>
    <w:rsid w:val="52C135BA"/>
    <w:rsid w:val="532927A8"/>
    <w:rsid w:val="537E6D0A"/>
    <w:rsid w:val="53F74C96"/>
    <w:rsid w:val="5426607C"/>
    <w:rsid w:val="54A379AB"/>
    <w:rsid w:val="54F44146"/>
    <w:rsid w:val="55170BA8"/>
    <w:rsid w:val="551C2CC7"/>
    <w:rsid w:val="553218C9"/>
    <w:rsid w:val="567E1AA5"/>
    <w:rsid w:val="56E47B74"/>
    <w:rsid w:val="57175D52"/>
    <w:rsid w:val="57B541EA"/>
    <w:rsid w:val="57BD3DD4"/>
    <w:rsid w:val="580824C7"/>
    <w:rsid w:val="594D5A0F"/>
    <w:rsid w:val="59E754E2"/>
    <w:rsid w:val="5A3957E9"/>
    <w:rsid w:val="5AF92295"/>
    <w:rsid w:val="5B250254"/>
    <w:rsid w:val="5B3B2843"/>
    <w:rsid w:val="5B6D2AC1"/>
    <w:rsid w:val="5BDD79E6"/>
    <w:rsid w:val="5BF561CA"/>
    <w:rsid w:val="5BFF5DFC"/>
    <w:rsid w:val="5CD71FC4"/>
    <w:rsid w:val="5D1F11B5"/>
    <w:rsid w:val="5D695134"/>
    <w:rsid w:val="5D9C4546"/>
    <w:rsid w:val="5DAE1B18"/>
    <w:rsid w:val="5DC978FB"/>
    <w:rsid w:val="5DE7D9E5"/>
    <w:rsid w:val="5ECEC941"/>
    <w:rsid w:val="5EFA0B0F"/>
    <w:rsid w:val="5EFC6430"/>
    <w:rsid w:val="5F5C4793"/>
    <w:rsid w:val="5FBF9FF3"/>
    <w:rsid w:val="5FCD4E2C"/>
    <w:rsid w:val="5FEF394A"/>
    <w:rsid w:val="5FF67715"/>
    <w:rsid w:val="604D2B80"/>
    <w:rsid w:val="61701712"/>
    <w:rsid w:val="62BF3928"/>
    <w:rsid w:val="62EA49F7"/>
    <w:rsid w:val="634C6C89"/>
    <w:rsid w:val="637609F6"/>
    <w:rsid w:val="63B3701E"/>
    <w:rsid w:val="647F5392"/>
    <w:rsid w:val="64AB00F0"/>
    <w:rsid w:val="64FE517C"/>
    <w:rsid w:val="65323CCA"/>
    <w:rsid w:val="65E66580"/>
    <w:rsid w:val="661A785F"/>
    <w:rsid w:val="664B1D71"/>
    <w:rsid w:val="664B4E8E"/>
    <w:rsid w:val="67277B67"/>
    <w:rsid w:val="67AA3209"/>
    <w:rsid w:val="698D0931"/>
    <w:rsid w:val="6A7FE5F3"/>
    <w:rsid w:val="6B053271"/>
    <w:rsid w:val="6BDD78B3"/>
    <w:rsid w:val="6C3D25C6"/>
    <w:rsid w:val="6C4A05C8"/>
    <w:rsid w:val="6C513453"/>
    <w:rsid w:val="6C8742B8"/>
    <w:rsid w:val="6DB30807"/>
    <w:rsid w:val="6DBF5E93"/>
    <w:rsid w:val="6DFF077E"/>
    <w:rsid w:val="6E6164B5"/>
    <w:rsid w:val="6E714EF0"/>
    <w:rsid w:val="6E7E3605"/>
    <w:rsid w:val="6E7FDCC7"/>
    <w:rsid w:val="6ED6A62E"/>
    <w:rsid w:val="6EE00B15"/>
    <w:rsid w:val="6F6FB3EB"/>
    <w:rsid w:val="6F8731EA"/>
    <w:rsid w:val="6FCE6052"/>
    <w:rsid w:val="6FD57C00"/>
    <w:rsid w:val="6FEFFFD8"/>
    <w:rsid w:val="6FF5CC65"/>
    <w:rsid w:val="6FFB47EC"/>
    <w:rsid w:val="6FFF034A"/>
    <w:rsid w:val="70484440"/>
    <w:rsid w:val="712A28F1"/>
    <w:rsid w:val="715C0E4B"/>
    <w:rsid w:val="71992E7C"/>
    <w:rsid w:val="71C70D25"/>
    <w:rsid w:val="72233669"/>
    <w:rsid w:val="72264492"/>
    <w:rsid w:val="72331EAE"/>
    <w:rsid w:val="72734D90"/>
    <w:rsid w:val="73160E6D"/>
    <w:rsid w:val="7332FE48"/>
    <w:rsid w:val="738E1F21"/>
    <w:rsid w:val="73AB61DA"/>
    <w:rsid w:val="73AD73D5"/>
    <w:rsid w:val="73B6EB34"/>
    <w:rsid w:val="73FA497D"/>
    <w:rsid w:val="744731E5"/>
    <w:rsid w:val="74A964C0"/>
    <w:rsid w:val="74BBD01D"/>
    <w:rsid w:val="74ED5379"/>
    <w:rsid w:val="75DEEEC2"/>
    <w:rsid w:val="75E32345"/>
    <w:rsid w:val="76E3355F"/>
    <w:rsid w:val="76FF5125"/>
    <w:rsid w:val="776F6FFA"/>
    <w:rsid w:val="778769C8"/>
    <w:rsid w:val="77A75DCA"/>
    <w:rsid w:val="77DC22F5"/>
    <w:rsid w:val="77E3618D"/>
    <w:rsid w:val="77E872FF"/>
    <w:rsid w:val="783E271A"/>
    <w:rsid w:val="78616DE9"/>
    <w:rsid w:val="78E875D7"/>
    <w:rsid w:val="79086DAD"/>
    <w:rsid w:val="79867E61"/>
    <w:rsid w:val="79D7FD79"/>
    <w:rsid w:val="79EE5BA4"/>
    <w:rsid w:val="7A894339"/>
    <w:rsid w:val="7AD284E8"/>
    <w:rsid w:val="7AFF7572"/>
    <w:rsid w:val="7B6C7DFB"/>
    <w:rsid w:val="7BBFBED0"/>
    <w:rsid w:val="7BC3E394"/>
    <w:rsid w:val="7C1F3737"/>
    <w:rsid w:val="7CBFC87B"/>
    <w:rsid w:val="7CFE0F48"/>
    <w:rsid w:val="7D272ABC"/>
    <w:rsid w:val="7D7EC23E"/>
    <w:rsid w:val="7E8ADEBF"/>
    <w:rsid w:val="7EEF11D3"/>
    <w:rsid w:val="7EFE4840"/>
    <w:rsid w:val="7F0971A6"/>
    <w:rsid w:val="7F1D62E7"/>
    <w:rsid w:val="7F3F679B"/>
    <w:rsid w:val="7F4FC4EF"/>
    <w:rsid w:val="7F5E4D54"/>
    <w:rsid w:val="7F6E0135"/>
    <w:rsid w:val="7F79F205"/>
    <w:rsid w:val="7FA30C79"/>
    <w:rsid w:val="7FA79C44"/>
    <w:rsid w:val="7FAF8ABF"/>
    <w:rsid w:val="7FB7269E"/>
    <w:rsid w:val="7FC96657"/>
    <w:rsid w:val="7FDA9588"/>
    <w:rsid w:val="7FDF220F"/>
    <w:rsid w:val="7FEDC5F7"/>
    <w:rsid w:val="7FEDD9DE"/>
    <w:rsid w:val="7FF5890D"/>
    <w:rsid w:val="7FF93490"/>
    <w:rsid w:val="99FF2014"/>
    <w:rsid w:val="A6DD0D7F"/>
    <w:rsid w:val="ACFF4FBB"/>
    <w:rsid w:val="ADC6F725"/>
    <w:rsid w:val="B7CF06AB"/>
    <w:rsid w:val="B7CFA926"/>
    <w:rsid w:val="B7F8786B"/>
    <w:rsid w:val="BABB6AA1"/>
    <w:rsid w:val="BB2F4199"/>
    <w:rsid w:val="BCFFB442"/>
    <w:rsid w:val="BD079C78"/>
    <w:rsid w:val="BD733540"/>
    <w:rsid w:val="BF3735D5"/>
    <w:rsid w:val="BF7F09AC"/>
    <w:rsid w:val="BFD475C3"/>
    <w:rsid w:val="BFDE5EA6"/>
    <w:rsid w:val="CF6FC6F3"/>
    <w:rsid w:val="CFD3D3D7"/>
    <w:rsid w:val="CFDF1009"/>
    <w:rsid w:val="D7D7B16A"/>
    <w:rsid w:val="D8D6DB89"/>
    <w:rsid w:val="DB6F4CAB"/>
    <w:rsid w:val="DB777682"/>
    <w:rsid w:val="DD1FB521"/>
    <w:rsid w:val="DEFBFEAE"/>
    <w:rsid w:val="DF1F3B80"/>
    <w:rsid w:val="DF6F9789"/>
    <w:rsid w:val="DFE9BE81"/>
    <w:rsid w:val="DFFFA9E8"/>
    <w:rsid w:val="E5F4E9DC"/>
    <w:rsid w:val="E70FE695"/>
    <w:rsid w:val="EB2E368B"/>
    <w:rsid w:val="ECFED1BC"/>
    <w:rsid w:val="ED1D69BB"/>
    <w:rsid w:val="ED7FD312"/>
    <w:rsid w:val="EF2E1AC6"/>
    <w:rsid w:val="EF53993F"/>
    <w:rsid w:val="EF6FD633"/>
    <w:rsid w:val="EFBFB2F4"/>
    <w:rsid w:val="EFBFFA21"/>
    <w:rsid w:val="F2BEBCB8"/>
    <w:rsid w:val="F36FB518"/>
    <w:rsid w:val="F3DE1A04"/>
    <w:rsid w:val="F3F722E5"/>
    <w:rsid w:val="F4FBCD07"/>
    <w:rsid w:val="FA5F1E70"/>
    <w:rsid w:val="FA5FDB97"/>
    <w:rsid w:val="FB7F486A"/>
    <w:rsid w:val="FBFF5B2E"/>
    <w:rsid w:val="FD7FFE2B"/>
    <w:rsid w:val="FDEE196B"/>
    <w:rsid w:val="FDFE6575"/>
    <w:rsid w:val="FEDFDDC2"/>
    <w:rsid w:val="FEED32F6"/>
    <w:rsid w:val="FEF781DD"/>
    <w:rsid w:val="FF3F7E3F"/>
    <w:rsid w:val="FFBA12D7"/>
    <w:rsid w:val="FFCBD314"/>
    <w:rsid w:val="FFDFF91C"/>
    <w:rsid w:val="FFDFFAEE"/>
    <w:rsid w:val="FFEF6777"/>
    <w:rsid w:val="FFF9B57B"/>
    <w:rsid w:val="FFFD61D9"/>
    <w:rsid w:val="FFFD8F59"/>
    <w:rsid w:val="FFFF2BB1"/>
    <w:rsid w:val="FFFFB04D"/>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qFormat="1" w:unhideWhenUsed="0" w:uiPriority="0" w:name="footnote text"/>
    <w:lsdException w:uiPriority="99" w:name="annotation text"/>
    <w:lsdException w:qFormat="1" w:unhideWhenUsed="0" w:uiPriority="99"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qFormat="1" w:unhideWhenUsed="0" w:uiPriority="99"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qFormat="1" w:uiPriority="99"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99"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29"/>
    <w:qFormat/>
    <w:uiPriority w:val="9"/>
    <w:pPr>
      <w:keepNext/>
      <w:keepLines/>
      <w:spacing w:before="340" w:after="330" w:line="578" w:lineRule="auto"/>
      <w:outlineLvl w:val="0"/>
    </w:pPr>
    <w:rPr>
      <w:b/>
      <w:bCs/>
      <w:kern w:val="44"/>
      <w:sz w:val="44"/>
      <w:szCs w:val="44"/>
    </w:rPr>
  </w:style>
  <w:style w:type="paragraph" w:styleId="3">
    <w:name w:val="heading 2"/>
    <w:basedOn w:val="1"/>
    <w:next w:val="1"/>
    <w:link w:val="30"/>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4">
    <w:name w:val="heading 3"/>
    <w:basedOn w:val="1"/>
    <w:next w:val="1"/>
    <w:link w:val="33"/>
    <w:unhideWhenUsed/>
    <w:qFormat/>
    <w:uiPriority w:val="9"/>
    <w:pPr>
      <w:keepNext/>
      <w:keepLines/>
      <w:spacing w:before="260" w:after="260" w:line="416" w:lineRule="auto"/>
      <w:outlineLvl w:val="2"/>
    </w:pPr>
    <w:rPr>
      <w:b/>
      <w:bCs/>
      <w:sz w:val="32"/>
      <w:szCs w:val="32"/>
    </w:rPr>
  </w:style>
  <w:style w:type="character" w:default="1" w:styleId="17">
    <w:name w:val="Default Paragraph Font"/>
    <w:unhideWhenUsed/>
    <w:qFormat/>
    <w:uiPriority w:val="1"/>
  </w:style>
  <w:style w:type="table" w:default="1" w:styleId="16">
    <w:name w:val="Normal Table"/>
    <w:semiHidden/>
    <w:unhideWhenUsed/>
    <w:qFormat/>
    <w:uiPriority w:val="99"/>
    <w:tblPr>
      <w:tblCellMar>
        <w:top w:w="0" w:type="dxa"/>
        <w:left w:w="108" w:type="dxa"/>
        <w:bottom w:w="0" w:type="dxa"/>
        <w:right w:w="108" w:type="dxa"/>
      </w:tblCellMar>
    </w:tblPr>
  </w:style>
  <w:style w:type="paragraph" w:styleId="5">
    <w:name w:val="Body Text"/>
    <w:basedOn w:val="1"/>
    <w:link w:val="26"/>
    <w:qFormat/>
    <w:uiPriority w:val="99"/>
    <w:pPr>
      <w:spacing w:beforeLines="30"/>
    </w:pPr>
    <w:rPr>
      <w:rFonts w:ascii="仿宋_GB2312" w:eastAsia="仿宋_GB2312"/>
      <w:kern w:val="0"/>
      <w:sz w:val="30"/>
    </w:rPr>
  </w:style>
  <w:style w:type="paragraph" w:styleId="6">
    <w:name w:val="Body Text Indent"/>
    <w:basedOn w:val="1"/>
    <w:next w:val="7"/>
    <w:qFormat/>
    <w:uiPriority w:val="0"/>
    <w:pPr>
      <w:spacing w:after="120"/>
      <w:ind w:leftChars="200"/>
    </w:pPr>
    <w:rPr>
      <w:rFonts w:ascii="仿宋_GB2312"/>
      <w:szCs w:val="32"/>
    </w:rPr>
  </w:style>
  <w:style w:type="paragraph" w:styleId="7">
    <w:name w:val="Body Text First Indent 2"/>
    <w:basedOn w:val="6"/>
    <w:unhideWhenUsed/>
    <w:qFormat/>
    <w:uiPriority w:val="99"/>
    <w:pPr>
      <w:ind w:firstLine="420" w:firstLineChars="200"/>
    </w:pPr>
  </w:style>
  <w:style w:type="paragraph" w:styleId="8">
    <w:name w:val="toc 3"/>
    <w:basedOn w:val="1"/>
    <w:next w:val="1"/>
    <w:unhideWhenUsed/>
    <w:qFormat/>
    <w:uiPriority w:val="39"/>
    <w:pPr>
      <w:tabs>
        <w:tab w:val="right" w:leader="dot" w:pos="8296"/>
      </w:tabs>
      <w:ind w:left="840" w:leftChars="400"/>
    </w:pPr>
  </w:style>
  <w:style w:type="paragraph" w:styleId="9">
    <w:name w:val="Balloon Text"/>
    <w:basedOn w:val="1"/>
    <w:link w:val="32"/>
    <w:semiHidden/>
    <w:unhideWhenUsed/>
    <w:qFormat/>
    <w:uiPriority w:val="99"/>
    <w:rPr>
      <w:sz w:val="18"/>
      <w:szCs w:val="18"/>
    </w:rPr>
  </w:style>
  <w:style w:type="paragraph" w:styleId="10">
    <w:name w:val="footer"/>
    <w:basedOn w:val="1"/>
    <w:link w:val="24"/>
    <w:qFormat/>
    <w:uiPriority w:val="99"/>
    <w:pPr>
      <w:tabs>
        <w:tab w:val="center" w:pos="4153"/>
        <w:tab w:val="right" w:pos="8306"/>
      </w:tabs>
      <w:snapToGrid w:val="0"/>
      <w:jc w:val="left"/>
    </w:pPr>
    <w:rPr>
      <w:rFonts w:ascii="Calibri" w:hAnsi="Calibri"/>
      <w:kern w:val="0"/>
      <w:sz w:val="18"/>
      <w:szCs w:val="18"/>
    </w:rPr>
  </w:style>
  <w:style w:type="paragraph" w:styleId="11">
    <w:name w:val="header"/>
    <w:basedOn w:val="1"/>
    <w:link w:val="22"/>
    <w:semiHidden/>
    <w:qFormat/>
    <w:uiPriority w:val="99"/>
    <w:pPr>
      <w:pBdr>
        <w:bottom w:val="single" w:color="auto" w:sz="6" w:space="1"/>
      </w:pBdr>
      <w:tabs>
        <w:tab w:val="center" w:pos="4153"/>
        <w:tab w:val="right" w:pos="8306"/>
      </w:tabs>
      <w:snapToGrid w:val="0"/>
      <w:jc w:val="center"/>
    </w:pPr>
    <w:rPr>
      <w:rFonts w:ascii="Calibri" w:hAnsi="Calibri"/>
      <w:kern w:val="0"/>
      <w:sz w:val="18"/>
      <w:szCs w:val="18"/>
    </w:rPr>
  </w:style>
  <w:style w:type="paragraph" w:styleId="12">
    <w:name w:val="toc 1"/>
    <w:basedOn w:val="1"/>
    <w:next w:val="1"/>
    <w:unhideWhenUsed/>
    <w:qFormat/>
    <w:uiPriority w:val="39"/>
    <w:pPr>
      <w:tabs>
        <w:tab w:val="right" w:leader="dot" w:pos="8296"/>
      </w:tabs>
      <w:spacing w:before="93"/>
      <w:jc w:val="center"/>
    </w:pPr>
    <w:rPr>
      <w:rFonts w:ascii="仿宋" w:hAnsi="仿宋" w:eastAsia="仿宋"/>
      <w:sz w:val="28"/>
      <w:szCs w:val="28"/>
    </w:rPr>
  </w:style>
  <w:style w:type="paragraph" w:styleId="13">
    <w:name w:val="footnote text"/>
    <w:basedOn w:val="1"/>
    <w:next w:val="7"/>
    <w:semiHidden/>
    <w:qFormat/>
    <w:uiPriority w:val="0"/>
    <w:pPr>
      <w:snapToGrid w:val="0"/>
      <w:jc w:val="left"/>
    </w:pPr>
    <w:rPr>
      <w:sz w:val="18"/>
      <w:szCs w:val="18"/>
    </w:rPr>
  </w:style>
  <w:style w:type="paragraph" w:styleId="14">
    <w:name w:val="toc 2"/>
    <w:basedOn w:val="1"/>
    <w:next w:val="1"/>
    <w:unhideWhenUsed/>
    <w:qFormat/>
    <w:uiPriority w:val="39"/>
    <w:pPr>
      <w:tabs>
        <w:tab w:val="right" w:leader="dot" w:pos="8296"/>
      </w:tabs>
      <w:ind w:left="420" w:leftChars="200"/>
    </w:pPr>
  </w:style>
  <w:style w:type="paragraph" w:styleId="15">
    <w:name w:val="Normal (Web)"/>
    <w:basedOn w:val="1"/>
    <w:next w:val="5"/>
    <w:qFormat/>
    <w:uiPriority w:val="0"/>
    <w:pPr>
      <w:widowControl/>
      <w:spacing w:before="100" w:beforeAutospacing="1" w:after="100" w:afterAutospacing="1"/>
      <w:jc w:val="left"/>
    </w:pPr>
    <w:rPr>
      <w:rFonts w:ascii="宋体" w:hAnsi="Times New Roman" w:eastAsia="宋体" w:cs="宋体"/>
      <w:kern w:val="0"/>
      <w:sz w:val="24"/>
      <w:szCs w:val="20"/>
      <w:lang w:val="en-US" w:eastAsia="zh-CN" w:bidi="ar-SA"/>
    </w:rPr>
  </w:style>
  <w:style w:type="character" w:styleId="18">
    <w:name w:val="Strong"/>
    <w:basedOn w:val="17"/>
    <w:qFormat/>
    <w:uiPriority w:val="99"/>
    <w:rPr>
      <w:b/>
    </w:rPr>
  </w:style>
  <w:style w:type="character" w:styleId="19">
    <w:name w:val="Hyperlink"/>
    <w:basedOn w:val="17"/>
    <w:unhideWhenUsed/>
    <w:qFormat/>
    <w:uiPriority w:val="99"/>
    <w:rPr>
      <w:color w:val="0000FF" w:themeColor="hyperlink"/>
      <w:u w:val="single"/>
      <w14:textFill>
        <w14:solidFill>
          <w14:schemeClr w14:val="hlink"/>
        </w14:solidFill>
      </w14:textFill>
    </w:rPr>
  </w:style>
  <w:style w:type="paragraph" w:customStyle="1" w:styleId="20">
    <w:name w:val="标题 5（有编号）（绿盟科技）"/>
    <w:next w:val="1"/>
    <w:qFormat/>
    <w:uiPriority w:val="99"/>
    <w:pPr>
      <w:keepNext/>
      <w:keepLines/>
      <w:widowControl w:val="0"/>
      <w:spacing w:before="280" w:after="156" w:line="377" w:lineRule="auto"/>
      <w:jc w:val="left"/>
      <w:outlineLvl w:val="4"/>
    </w:pPr>
    <w:rPr>
      <w:rFonts w:ascii="Arial" w:hAnsi="Arial" w:eastAsia="黑体" w:cs="Times New Roman"/>
      <w:b/>
      <w:kern w:val="2"/>
      <w:sz w:val="24"/>
      <w:szCs w:val="28"/>
      <w:lang w:val="en-US" w:eastAsia="zh-CN" w:bidi="ar-SA"/>
    </w:rPr>
  </w:style>
  <w:style w:type="character" w:customStyle="1" w:styleId="21">
    <w:name w:val="Header Char"/>
    <w:basedOn w:val="17"/>
    <w:semiHidden/>
    <w:qFormat/>
    <w:uiPriority w:val="99"/>
    <w:rPr>
      <w:rFonts w:ascii="Times New Roman" w:hAnsi="Times New Roman"/>
      <w:sz w:val="18"/>
      <w:szCs w:val="18"/>
    </w:rPr>
  </w:style>
  <w:style w:type="character" w:customStyle="1" w:styleId="22">
    <w:name w:val="页眉 Char"/>
    <w:link w:val="11"/>
    <w:semiHidden/>
    <w:qFormat/>
    <w:locked/>
    <w:uiPriority w:val="99"/>
    <w:rPr>
      <w:sz w:val="18"/>
    </w:rPr>
  </w:style>
  <w:style w:type="character" w:customStyle="1" w:styleId="23">
    <w:name w:val="Footer Char"/>
    <w:basedOn w:val="17"/>
    <w:semiHidden/>
    <w:qFormat/>
    <w:uiPriority w:val="99"/>
    <w:rPr>
      <w:rFonts w:ascii="Times New Roman" w:hAnsi="Times New Roman"/>
      <w:sz w:val="18"/>
      <w:szCs w:val="18"/>
    </w:rPr>
  </w:style>
  <w:style w:type="character" w:customStyle="1" w:styleId="24">
    <w:name w:val="页脚 Char"/>
    <w:link w:val="10"/>
    <w:qFormat/>
    <w:locked/>
    <w:uiPriority w:val="99"/>
    <w:rPr>
      <w:sz w:val="18"/>
    </w:rPr>
  </w:style>
  <w:style w:type="character" w:customStyle="1" w:styleId="25">
    <w:name w:val="Body Text Char"/>
    <w:basedOn w:val="17"/>
    <w:semiHidden/>
    <w:qFormat/>
    <w:uiPriority w:val="99"/>
    <w:rPr>
      <w:rFonts w:ascii="Times New Roman" w:hAnsi="Times New Roman"/>
      <w:szCs w:val="24"/>
    </w:rPr>
  </w:style>
  <w:style w:type="character" w:customStyle="1" w:styleId="26">
    <w:name w:val="正文文本 Char"/>
    <w:link w:val="5"/>
    <w:qFormat/>
    <w:locked/>
    <w:uiPriority w:val="99"/>
    <w:rPr>
      <w:rFonts w:ascii="仿宋_GB2312" w:hAnsi="Times New Roman" w:eastAsia="仿宋_GB2312"/>
      <w:sz w:val="24"/>
    </w:rPr>
  </w:style>
  <w:style w:type="paragraph" w:customStyle="1" w:styleId="27">
    <w:name w:val="Default"/>
    <w:qFormat/>
    <w:uiPriority w:val="99"/>
    <w:pPr>
      <w:widowControl w:val="0"/>
      <w:autoSpaceDE w:val="0"/>
      <w:autoSpaceDN w:val="0"/>
      <w:adjustRightInd w:val="0"/>
    </w:pPr>
    <w:rPr>
      <w:rFonts w:ascii="仿宋" w:hAnsi="Calibri" w:eastAsia="仿宋" w:cs="仿宋"/>
      <w:color w:val="000000"/>
      <w:sz w:val="24"/>
      <w:szCs w:val="24"/>
      <w:lang w:val="en-US" w:eastAsia="zh-CN" w:bidi="ar-SA"/>
    </w:rPr>
  </w:style>
  <w:style w:type="paragraph" w:styleId="28">
    <w:name w:val="List Paragraph"/>
    <w:basedOn w:val="1"/>
    <w:qFormat/>
    <w:uiPriority w:val="34"/>
    <w:pPr>
      <w:ind w:firstLine="420" w:firstLineChars="200"/>
    </w:pPr>
  </w:style>
  <w:style w:type="character" w:customStyle="1" w:styleId="29">
    <w:name w:val="标题 1 Char"/>
    <w:basedOn w:val="17"/>
    <w:link w:val="2"/>
    <w:qFormat/>
    <w:uiPriority w:val="9"/>
    <w:rPr>
      <w:rFonts w:ascii="Times New Roman" w:hAnsi="Times New Roman"/>
      <w:b/>
      <w:bCs/>
      <w:kern w:val="44"/>
      <w:sz w:val="44"/>
      <w:szCs w:val="44"/>
    </w:rPr>
  </w:style>
  <w:style w:type="character" w:customStyle="1" w:styleId="30">
    <w:name w:val="标题 2 Char"/>
    <w:basedOn w:val="17"/>
    <w:link w:val="3"/>
    <w:qFormat/>
    <w:uiPriority w:val="9"/>
    <w:rPr>
      <w:rFonts w:asciiTheme="majorHAnsi" w:hAnsiTheme="majorHAnsi" w:eastAsiaTheme="majorEastAsia" w:cstheme="majorBidi"/>
      <w:b/>
      <w:bCs/>
      <w:kern w:val="2"/>
      <w:sz w:val="32"/>
      <w:szCs w:val="32"/>
    </w:rPr>
  </w:style>
  <w:style w:type="paragraph" w:customStyle="1" w:styleId="31">
    <w:name w:val="TOC 标题1"/>
    <w:basedOn w:val="2"/>
    <w:next w:val="1"/>
    <w:unhideWhenUsed/>
    <w:qFormat/>
    <w:uiPriority w:val="39"/>
    <w:pPr>
      <w:widowControl/>
      <w:spacing w:before="480" w:after="0" w:line="276" w:lineRule="auto"/>
      <w:jc w:val="left"/>
      <w:outlineLvl w:val="9"/>
    </w:pPr>
    <w:rPr>
      <w:rFonts w:asciiTheme="majorHAnsi" w:hAnsiTheme="majorHAnsi" w:eastAsiaTheme="majorEastAsia" w:cstheme="majorBidi"/>
      <w:color w:val="376092" w:themeColor="accent1" w:themeShade="BF"/>
      <w:kern w:val="0"/>
      <w:sz w:val="28"/>
      <w:szCs w:val="28"/>
    </w:rPr>
  </w:style>
  <w:style w:type="character" w:customStyle="1" w:styleId="32">
    <w:name w:val="批注框文本 Char"/>
    <w:basedOn w:val="17"/>
    <w:link w:val="9"/>
    <w:semiHidden/>
    <w:qFormat/>
    <w:uiPriority w:val="99"/>
    <w:rPr>
      <w:rFonts w:ascii="Times New Roman" w:hAnsi="Times New Roman"/>
      <w:kern w:val="2"/>
      <w:sz w:val="18"/>
      <w:szCs w:val="18"/>
    </w:rPr>
  </w:style>
  <w:style w:type="character" w:customStyle="1" w:styleId="33">
    <w:name w:val="标题 3 Char"/>
    <w:basedOn w:val="17"/>
    <w:link w:val="4"/>
    <w:qFormat/>
    <w:uiPriority w:val="9"/>
    <w:rPr>
      <w:rFonts w:ascii="Times New Roman" w:hAnsi="Times New Roman"/>
      <w:b/>
      <w:bCs/>
      <w:kern w:val="2"/>
      <w:sz w:val="32"/>
      <w:szCs w:val="32"/>
    </w:rPr>
  </w:style>
  <w:style w:type="paragraph" w:customStyle="1" w:styleId="34">
    <w:name w:val="TOC Heading"/>
    <w:basedOn w:val="2"/>
    <w:next w:val="1"/>
    <w:unhideWhenUsed/>
    <w:qFormat/>
    <w:uiPriority w:val="39"/>
    <w:pPr>
      <w:widowControl/>
      <w:spacing w:before="480" w:after="0" w:line="276" w:lineRule="auto"/>
      <w:jc w:val="left"/>
      <w:outlineLvl w:val="9"/>
    </w:pPr>
    <w:rPr>
      <w:rFonts w:asciiTheme="majorHAnsi" w:hAnsiTheme="majorHAnsi" w:eastAsiaTheme="majorEastAsia" w:cstheme="majorBidi"/>
      <w:color w:val="376092" w:themeColor="accent1" w:themeShade="BF"/>
      <w:kern w:val="0"/>
      <w:sz w:val="28"/>
      <w:szCs w:val="28"/>
    </w:rPr>
  </w:style>
  <w:style w:type="paragraph" w:customStyle="1" w:styleId="35">
    <w:name w:val="四号正文"/>
    <w:basedOn w:val="1"/>
    <w:qFormat/>
    <w:uiPriority w:val="0"/>
    <w:pPr>
      <w:spacing w:line="360" w:lineRule="auto"/>
    </w:pPr>
    <w:rPr>
      <w:rFonts w:ascii="??" w:hAnsi="??" w:eastAsia="宋体"/>
      <w:color w:val="000000"/>
      <w:kern w:val="0"/>
      <w:sz w:val="28"/>
      <w:szCs w:val="21"/>
      <w:lang w:val="zh-CN" w:eastAsia="zh-CN"/>
    </w:rPr>
  </w:style>
</w:styles>
</file>

<file path=word/_rels/document.xml.rels><?xml version="1.0" encoding="UTF-8" standalone="yes"?>
<Relationships xmlns="http://schemas.openxmlformats.org/package/2006/relationships"><Relationship Id="rId9" Type="http://schemas.openxmlformats.org/officeDocument/2006/relationships/chart" Target="charts/chart1.xml"/><Relationship Id="rId8" Type="http://schemas.openxmlformats.org/officeDocument/2006/relationships/theme" Target="theme/theme1.xml"/><Relationship Id="rId7" Type="http://schemas.openxmlformats.org/officeDocument/2006/relationships/footer" Target="footer4.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8" Type="http://schemas.openxmlformats.org/officeDocument/2006/relationships/fontTable" Target="fontTable.xml"/><Relationship Id="rId17" Type="http://schemas.openxmlformats.org/officeDocument/2006/relationships/numbering" Target="numbering.xml"/><Relationship Id="rId16" Type="http://schemas.openxmlformats.org/officeDocument/2006/relationships/customXml" Target="../customXml/item1.xml"/><Relationship Id="rId15" Type="http://schemas.openxmlformats.org/officeDocument/2006/relationships/chart" Target="charts/chart7.xml"/><Relationship Id="rId14" Type="http://schemas.openxmlformats.org/officeDocument/2006/relationships/chart" Target="charts/chart6.xml"/><Relationship Id="rId13" Type="http://schemas.openxmlformats.org/officeDocument/2006/relationships/chart" Target="charts/chart5.xml"/><Relationship Id="rId12" Type="http://schemas.openxmlformats.org/officeDocument/2006/relationships/chart" Target="charts/chart4.xml"/><Relationship Id="rId11" Type="http://schemas.openxmlformats.org/officeDocument/2006/relationships/chart" Target="charts/chart3.xml"/><Relationship Id="rId10" Type="http://schemas.openxmlformats.org/officeDocument/2006/relationships/chart" Target="charts/chart2.xml"/><Relationship Id="rId1" Type="http://schemas.openxmlformats.org/officeDocument/2006/relationships/styles" Target="styles.xml"/></Relationships>
</file>

<file path=word/charts/_rels/chart1.xml.rels><?xml version="1.0" encoding="UTF-8" standalone="yes"?>
<Relationships xmlns="http://schemas.openxmlformats.org/package/2006/relationships"><Relationship Id="rId3" Type="http://schemas.microsoft.com/office/2011/relationships/chartColorStyle" Target="colors1.xml"/><Relationship Id="rId2" Type="http://schemas.microsoft.com/office/2011/relationships/chartStyle" Target="style1.xml"/><Relationship Id="rId1" Type="http://schemas.openxmlformats.org/officeDocument/2006/relationships/oleObject" Target="file:///C:\Users\Administrator\Desktop\&#26032;&#24314;%20XLS%20&#24037;&#20316;&#34920;.xls" TargetMode="External"/></Relationships>
</file>

<file path=word/charts/_rels/chart2.xml.rels><?xml version="1.0" encoding="UTF-8" standalone="yes"?>
<Relationships xmlns="http://schemas.openxmlformats.org/package/2006/relationships"><Relationship Id="rId3" Type="http://schemas.microsoft.com/office/2011/relationships/chartColorStyle" Target="colors2.xml"/><Relationship Id="rId2" Type="http://schemas.microsoft.com/office/2011/relationships/chartStyle" Target="style2.xml"/><Relationship Id="rId1" Type="http://schemas.openxmlformats.org/officeDocument/2006/relationships/oleObject" Target="file:///C:\Users\Administrator\Desktop\&#26032;&#24314;%20XLS%20&#24037;&#20316;&#34920;.xls" TargetMode="External"/></Relationships>
</file>

<file path=word/charts/_rels/chart3.xml.rels><?xml version="1.0" encoding="UTF-8" standalone="yes"?>
<Relationships xmlns="http://schemas.openxmlformats.org/package/2006/relationships"><Relationship Id="rId3" Type="http://schemas.microsoft.com/office/2011/relationships/chartColorStyle" Target="colors3.xml"/><Relationship Id="rId2" Type="http://schemas.microsoft.com/office/2011/relationships/chartStyle" Target="style3.xml"/><Relationship Id="rId1" Type="http://schemas.openxmlformats.org/officeDocument/2006/relationships/oleObject" Target="file:///C:\Users\Administrator\Desktop\&#26032;&#24314;%20XLS%20&#24037;&#20316;&#34920;.xls" TargetMode="External"/></Relationships>
</file>

<file path=word/charts/_rels/chart4.xml.rels><?xml version="1.0" encoding="UTF-8" standalone="yes"?>
<Relationships xmlns="http://schemas.openxmlformats.org/package/2006/relationships"><Relationship Id="rId3" Type="http://schemas.microsoft.com/office/2011/relationships/chartColorStyle" Target="colors4.xml"/><Relationship Id="rId2" Type="http://schemas.microsoft.com/office/2011/relationships/chartStyle" Target="style4.xml"/><Relationship Id="rId1" Type="http://schemas.openxmlformats.org/officeDocument/2006/relationships/oleObject" Target="file:///C:\Users\Administrator\Desktop\&#26032;&#24314;%20XLS%20&#24037;&#20316;&#34920;.xls" TargetMode="External"/></Relationships>
</file>

<file path=word/charts/_rels/chart5.xml.rels><?xml version="1.0" encoding="UTF-8" standalone="yes"?>
<Relationships xmlns="http://schemas.openxmlformats.org/package/2006/relationships"><Relationship Id="rId3" Type="http://schemas.microsoft.com/office/2011/relationships/chartColorStyle" Target="colors5.xml"/><Relationship Id="rId2" Type="http://schemas.microsoft.com/office/2011/relationships/chartStyle" Target="style5.xml"/><Relationship Id="rId1" Type="http://schemas.openxmlformats.org/officeDocument/2006/relationships/oleObject" Target="file:///C:\Users\Administrator\Desktop\&#26032;&#24314;%20XLS%20&#24037;&#20316;&#34920;.xls" TargetMode="External"/></Relationships>
</file>

<file path=word/charts/_rels/chart6.xml.rels><?xml version="1.0" encoding="UTF-8" standalone="yes"?>
<Relationships xmlns="http://schemas.openxmlformats.org/package/2006/relationships"><Relationship Id="rId3" Type="http://schemas.microsoft.com/office/2011/relationships/chartColorStyle" Target="colors6.xml"/><Relationship Id="rId2" Type="http://schemas.microsoft.com/office/2011/relationships/chartStyle" Target="style6.xml"/><Relationship Id="rId1" Type="http://schemas.openxmlformats.org/officeDocument/2006/relationships/oleObject" Target="&#24037;&#20316;&#31807;1" TargetMode="External"/></Relationships>
</file>

<file path=word/charts/_rels/chart7.xml.rels><?xml version="1.0" encoding="UTF-8" standalone="yes"?>
<Relationships xmlns="http://schemas.openxmlformats.org/package/2006/relationships"><Relationship Id="rId3" Type="http://schemas.microsoft.com/office/2011/relationships/chartColorStyle" Target="colors7.xml"/><Relationship Id="rId2" Type="http://schemas.microsoft.com/office/2011/relationships/chartStyle" Target="style7.xml"/><Relationship Id="rId1" Type="http://schemas.openxmlformats.org/officeDocument/2006/relationships/oleObject" Target="&#24037;&#20316;&#31807;1"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400" b="1" i="0" u="none" strike="noStrike" kern="1200" baseline="0">
                <a:solidFill>
                  <a:schemeClr val="tx1">
                    <a:lumMod val="75000"/>
                    <a:lumOff val="25000"/>
                  </a:schemeClr>
                </a:solidFill>
                <a:latin typeface="+mn-lt"/>
                <a:ea typeface="+mn-ea"/>
                <a:cs typeface="+mn-cs"/>
              </a:defRPr>
            </a:pPr>
            <a:r>
              <a:t>收入、支出决算总计变动情况图</a:t>
            </a:r>
          </a:p>
        </c:rich>
      </c:tx>
      <c:layout/>
      <c:overlay val="0"/>
      <c:spPr>
        <a:noFill/>
        <a:ln>
          <a:noFill/>
        </a:ln>
        <a:effectLst/>
      </c:spPr>
    </c:title>
    <c:autoTitleDeleted val="0"/>
    <c:plotArea>
      <c:layout/>
      <c:barChart>
        <c:barDir val="col"/>
        <c:grouping val="clustered"/>
        <c:varyColors val="0"/>
        <c:ser>
          <c:idx val="0"/>
          <c:order val="0"/>
          <c:spPr>
            <a:solidFill>
              <a:schemeClr val="accent1"/>
            </a:solidFill>
            <a:ln>
              <a:noFill/>
            </a:ln>
            <a:effectLst/>
          </c:spPr>
          <c:invertIfNegative val="0"/>
          <c:dLbls>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lumMod val="75000"/>
                        <a:lumOff val="25000"/>
                      </a:schemeClr>
                    </a:solidFill>
                    <a:latin typeface="+mn-lt"/>
                    <a:ea typeface="+mn-ea"/>
                    <a:cs typeface="+mn-cs"/>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'[新建 XLS 工作表.xls]Sheet1'!$G$9:$H$9</c:f>
              <c:strCache>
                <c:ptCount val="2"/>
                <c:pt idx="0">
                  <c:v>2024年度收入、支出总计</c:v>
                </c:pt>
                <c:pt idx="1">
                  <c:v>2023年度收入、支出总计</c:v>
                </c:pt>
              </c:strCache>
            </c:strRef>
          </c:cat>
          <c:val>
            <c:numRef>
              <c:f>'[新建 XLS 工作表.xls]Sheet1'!$G$10:$H$10</c:f>
              <c:numCache>
                <c:formatCode>General</c:formatCode>
                <c:ptCount val="2"/>
                <c:pt idx="0">
                  <c:v>1044.02</c:v>
                </c:pt>
                <c:pt idx="1">
                  <c:v>934.29</c:v>
                </c:pt>
              </c:numCache>
            </c:numRef>
          </c:val>
        </c:ser>
        <c:dLbls>
          <c:showLegendKey val="0"/>
          <c:showVal val="1"/>
          <c:showCatName val="0"/>
          <c:showSerName val="0"/>
          <c:showPercent val="0"/>
          <c:showBubbleSize val="0"/>
        </c:dLbls>
        <c:gapWidth val="150"/>
        <c:overlap val="0"/>
        <c:axId val="309842299"/>
        <c:axId val="376856514"/>
      </c:barChart>
      <c:catAx>
        <c:axId val="309842299"/>
        <c:scaling>
          <c:orientation val="minMax"/>
        </c:scaling>
        <c:delete val="0"/>
        <c:axPos val="b"/>
        <c:majorTickMark val="none"/>
        <c:minorTickMark val="none"/>
        <c:tickLblPos val="nextTo"/>
        <c:spPr>
          <a:noFill/>
          <a:ln w="9525" cap="flat" cmpd="sng" algn="ctr">
            <a:solidFill>
              <a:schemeClr val="tx1">
                <a:lumMod val="15000"/>
                <a:lumOff val="85000"/>
              </a:schemeClr>
            </a:solidFill>
            <a:round/>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376856514"/>
        <c:crosses val="autoZero"/>
        <c:auto val="1"/>
        <c:lblAlgn val="ctr"/>
        <c:lblOffset val="100"/>
        <c:noMultiLvlLbl val="0"/>
      </c:catAx>
      <c:valAx>
        <c:axId val="376856514"/>
        <c:scaling>
          <c:orientation val="minMax"/>
        </c:scaling>
        <c:delete val="0"/>
        <c:axPos val="l"/>
        <c:majorGridlines>
          <c:spPr>
            <a:ln w="9525" cap="flat" cmpd="sng" algn="ctr">
              <a:solidFill>
                <a:schemeClr val="lt1">
                  <a:lumMod val="90200"/>
                </a:schemeClr>
              </a:solidFill>
              <a:round/>
            </a:ln>
            <a:effectLst/>
          </c:spPr>
        </c:majorGridlines>
        <c:numFmt formatCode="General" sourceLinked="1"/>
        <c:majorTickMark val="none"/>
        <c:minorTickMark val="none"/>
        <c:tickLblPos val="nextTo"/>
        <c:spPr>
          <a:noFill/>
          <a:ln>
            <a:noFill/>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309842299"/>
        <c:crosses val="autoZero"/>
        <c:crossBetween val="between"/>
      </c:valAx>
      <c:spPr>
        <a:noFill/>
        <a:ln>
          <a:noFill/>
        </a:ln>
        <a:effectLst/>
      </c:spPr>
    </c:plotArea>
    <c:plotVisOnly val="1"/>
    <c:dispBlanksAs val="gap"/>
    <c:showDLblsOverMax val="0"/>
    <c:extLst>
      <c:ext uri="{0b15fc19-7d7d-44ad-8c2d-2c3a37ce22c3}">
        <chartProps xmlns="https://web.wps.cn/et/2018/main" chartId="{7f73dec1-39d0-405e-a554-e27ddf4cf18e}"/>
      </c:ext>
    </c:extLst>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400" b="1" i="0" u="none" strike="noStrike" kern="1200" baseline="0">
                <a:solidFill>
                  <a:schemeClr val="tx1">
                    <a:lumMod val="75000"/>
                    <a:lumOff val="25000"/>
                  </a:schemeClr>
                </a:solidFill>
                <a:latin typeface="+mn-lt"/>
                <a:ea typeface="+mn-ea"/>
                <a:cs typeface="+mn-cs"/>
              </a:defRPr>
            </a:pPr>
            <a:r>
              <a:rPr lang="en-US" altLang="zh-CN"/>
              <a:t>2024</a:t>
            </a:r>
            <a:r>
              <a:rPr altLang="en-US"/>
              <a:t>年</a:t>
            </a:r>
            <a:r>
              <a:t>收入决算</a:t>
            </a:r>
          </a:p>
        </c:rich>
      </c:tx>
      <c:layout>
        <c:manualLayout>
          <c:xMode val="edge"/>
          <c:yMode val="edge"/>
          <c:x val="0.374605263157895"/>
          <c:y val="0.0416666666666667"/>
        </c:manualLayout>
      </c:layout>
      <c:overlay val="0"/>
      <c:spPr>
        <a:noFill/>
        <a:ln>
          <a:noFill/>
        </a:ln>
        <a:effectLst/>
      </c:spPr>
    </c:title>
    <c:autoTitleDeleted val="0"/>
    <c:plotArea>
      <c:layout/>
      <c:pieChart>
        <c:varyColors val="1"/>
        <c:ser>
          <c:idx val="0"/>
          <c:order val="0"/>
          <c:spPr>
            <a:solidFill>
              <a:sysClr val="window" lastClr="FFFFFF"/>
            </a:solidFill>
          </c:spPr>
          <c:explosion val="0"/>
          <c:dPt>
            <c:idx val="0"/>
            <c:bubble3D val="0"/>
            <c:spPr>
              <a:gradFill>
                <a:gsLst>
                  <a:gs pos="50000">
                    <a:schemeClr val="accent2"/>
                  </a:gs>
                  <a:gs pos="0">
                    <a:schemeClr val="accent2">
                      <a:lumMod val="25000"/>
                      <a:lumOff val="75000"/>
                    </a:schemeClr>
                  </a:gs>
                  <a:gs pos="100000">
                    <a:schemeClr val="accent2">
                      <a:lumMod val="85000"/>
                    </a:schemeClr>
                  </a:gs>
                </a:gsLst>
                <a:lin ang="5400000" scaled="1"/>
              </a:gradFill>
              <a:ln>
                <a:solidFill>
                  <a:schemeClr val="bg1"/>
                </a:solidFill>
              </a:ln>
              <a:effectLst/>
            </c:spPr>
          </c:dPt>
          <c:dPt>
            <c:idx val="1"/>
            <c:bubble3D val="0"/>
            <c:spPr>
              <a:solidFill>
                <a:schemeClr val="accent6">
                  <a:lumMod val="40000"/>
                  <a:lumOff val="60000"/>
                </a:schemeClr>
              </a:solidFill>
              <a:ln>
                <a:solidFill>
                  <a:schemeClr val="bg1"/>
                </a:solidFill>
              </a:ln>
              <a:effectLst/>
            </c:spPr>
          </c:dPt>
          <c:dPt>
            <c:idx val="2"/>
            <c:bubble3D val="0"/>
            <c:spPr>
              <a:gradFill>
                <a:gsLst>
                  <a:gs pos="50000">
                    <a:schemeClr val="accent1"/>
                  </a:gs>
                  <a:gs pos="0">
                    <a:schemeClr val="accent1">
                      <a:lumMod val="25000"/>
                      <a:lumOff val="75000"/>
                    </a:schemeClr>
                  </a:gs>
                  <a:gs pos="100000">
                    <a:schemeClr val="accent1">
                      <a:lumMod val="85000"/>
                    </a:schemeClr>
                  </a:gs>
                </a:gsLst>
                <a:lin ang="5400000" scaled="1"/>
              </a:gradFill>
              <a:ln>
                <a:solidFill>
                  <a:schemeClr val="bg1"/>
                </a:solidFill>
              </a:ln>
              <a:effectLst/>
            </c:spPr>
          </c:dPt>
          <c:dLbls>
            <c:dLbl>
              <c:idx val="2"/>
              <c:layout>
                <c:manualLayout>
                  <c:x val="0.0671052631578947"/>
                  <c:y val="0.0138888888888889"/>
                </c:manualLayout>
              </c:layout>
              <c:dLblPos val="bestFit"/>
              <c:showLegendKey val="0"/>
              <c:showVal val="1"/>
              <c:showCatName val="0"/>
              <c:showSerName val="0"/>
              <c:showPercent val="0"/>
              <c:showBubbleSize val="0"/>
              <c:extLst>
                <c:ext xmlns:c15="http://schemas.microsoft.com/office/drawing/2012/chart" uri="{CE6537A1-D6FC-4f65-9D91-7224C49458BB}">
                  <c15:layout/>
                </c:ext>
              </c:extLst>
            </c:dLbl>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lumMod val="75000"/>
                        <a:lumOff val="25000"/>
                      </a:schemeClr>
                    </a:solidFill>
                    <a:latin typeface="+mn-lt"/>
                    <a:ea typeface="+mn-ea"/>
                    <a:cs typeface="+mn-cs"/>
                  </a:defRPr>
                </a:pPr>
              </a:p>
            </c:txPr>
            <c:dLblPos val="outEnd"/>
            <c:showLegendKey val="0"/>
            <c:showVal val="1"/>
            <c:showCatName val="0"/>
            <c:showSerName val="0"/>
            <c:showPercent val="0"/>
            <c:showBubbleSize val="0"/>
            <c:showLeaderLines val="1"/>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'[新建 XLS 工作表.xls]Sheet1'!$G$9:$I$9</c:f>
              <c:strCache>
                <c:ptCount val="3"/>
                <c:pt idx="0">
                  <c:v>一般公共预算财政拨款收入</c:v>
                </c:pt>
                <c:pt idx="1">
                  <c:v>政府性基金预算财政拨款收入</c:v>
                </c:pt>
                <c:pt idx="2">
                  <c:v>其他收入</c:v>
                </c:pt>
              </c:strCache>
            </c:strRef>
          </c:cat>
          <c:val>
            <c:numRef>
              <c:f>'[新建 XLS 工作表.xls]Sheet1'!$G$10:$I$10</c:f>
              <c:numCache>
                <c:formatCode>General</c:formatCode>
                <c:ptCount val="3"/>
                <c:pt idx="0">
                  <c:v>983.9</c:v>
                </c:pt>
                <c:pt idx="1">
                  <c:v>44.73</c:v>
                </c:pt>
                <c:pt idx="2">
                  <c:v>15.39</c:v>
                </c:pt>
              </c:numCache>
            </c:numRef>
          </c:val>
        </c:ser>
        <c:dLbls>
          <c:showLegendKey val="0"/>
          <c:showVal val="1"/>
          <c:showCatName val="0"/>
          <c:showSerName val="0"/>
          <c:showPercent val="0"/>
          <c:showBubbleSize val="0"/>
          <c:showLeaderLines val="1"/>
        </c:dLbls>
        <c:firstSliceAng val="0"/>
      </c:pieChart>
      <c:spPr>
        <a:noFill/>
        <a:ln>
          <a:noFill/>
        </a:ln>
        <a:effectLst/>
      </c:spPr>
    </c:plotArea>
    <c:legend>
      <c:legendPos val="b"/>
      <c:layout/>
      <c:overlay val="0"/>
      <c:spPr>
        <a:noFill/>
        <a:ln>
          <a:noFill/>
        </a:ln>
        <a:effectLst/>
      </c:spPr>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gap"/>
    <c:showDLblsOverMax val="0"/>
    <c:extLst>
      <c:ext uri="{0b15fc19-7d7d-44ad-8c2d-2c3a37ce22c3}">
        <chartProps xmlns="https://web.wps.cn/et/2018/main" chartId="{2ff93e95-101d-4be9-bb7e-b81ea15bc4ad}"/>
      </c:ext>
    </c:extLst>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400" b="1" i="0" u="none" strike="noStrike" kern="1200" baseline="0">
                <a:solidFill>
                  <a:schemeClr val="tx1">
                    <a:lumMod val="75000"/>
                    <a:lumOff val="25000"/>
                  </a:schemeClr>
                </a:solidFill>
                <a:latin typeface="+mn-lt"/>
                <a:ea typeface="+mn-ea"/>
                <a:cs typeface="+mn-cs"/>
              </a:defRPr>
            </a:pPr>
            <a:r>
              <a:rPr lang="en-US" altLang="zh-CN"/>
              <a:t>2024</a:t>
            </a:r>
            <a:r>
              <a:rPr altLang="en-US"/>
              <a:t>年支出决算</a:t>
            </a:r>
            <a:endParaRPr altLang="en-US"/>
          </a:p>
        </c:rich>
      </c:tx>
      <c:layout/>
      <c:overlay val="0"/>
      <c:spPr>
        <a:noFill/>
        <a:ln>
          <a:noFill/>
        </a:ln>
        <a:effectLst/>
      </c:spPr>
    </c:title>
    <c:autoTitleDeleted val="0"/>
    <c:plotArea>
      <c:layout/>
      <c:pieChart>
        <c:varyColors val="1"/>
        <c:ser>
          <c:idx val="0"/>
          <c:order val="0"/>
          <c:spPr/>
          <c:explosion val="0"/>
          <c:dPt>
            <c:idx val="0"/>
            <c:bubble3D val="0"/>
            <c:spPr>
              <a:solidFill>
                <a:schemeClr val="accent1"/>
              </a:solidFill>
              <a:ln>
                <a:solidFill>
                  <a:schemeClr val="bg1"/>
                </a:solidFill>
              </a:ln>
              <a:effectLst/>
            </c:spPr>
          </c:dPt>
          <c:dPt>
            <c:idx val="1"/>
            <c:bubble3D val="0"/>
            <c:spPr>
              <a:solidFill>
                <a:schemeClr val="accent2"/>
              </a:solidFill>
              <a:ln>
                <a:solidFill>
                  <a:schemeClr val="bg1"/>
                </a:solidFill>
              </a:ln>
              <a:effectLst/>
            </c:spPr>
          </c:dPt>
          <c:dLbls>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lumMod val="75000"/>
                        <a:lumOff val="25000"/>
                      </a:schemeClr>
                    </a:solidFill>
                    <a:latin typeface="+mn-lt"/>
                    <a:ea typeface="+mn-ea"/>
                    <a:cs typeface="+mn-cs"/>
                  </a:defRPr>
                </a:pPr>
              </a:p>
            </c:txPr>
            <c:dLblPos val="bestFit"/>
            <c:showLegendKey val="0"/>
            <c:showVal val="1"/>
            <c:showCatName val="0"/>
            <c:showSerName val="0"/>
            <c:showPercent val="0"/>
            <c:showBubbleSize val="0"/>
            <c:showLeaderLines val="1"/>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'[新建 XLS 工作表.xls]Sheet1'!$G$9:$H$9</c:f>
              <c:strCache>
                <c:ptCount val="2"/>
                <c:pt idx="0">
                  <c:v>基本支出</c:v>
                </c:pt>
                <c:pt idx="1">
                  <c:v>项目支出</c:v>
                </c:pt>
              </c:strCache>
            </c:strRef>
          </c:cat>
          <c:val>
            <c:numRef>
              <c:f>'[新建 XLS 工作表.xls]Sheet1'!$G$10:$H$10</c:f>
              <c:numCache>
                <c:formatCode>General</c:formatCode>
                <c:ptCount val="2"/>
                <c:pt idx="0">
                  <c:v>509.35</c:v>
                </c:pt>
                <c:pt idx="1">
                  <c:v>534.67</c:v>
                </c:pt>
              </c:numCache>
            </c:numRef>
          </c:val>
        </c:ser>
        <c:dLbls>
          <c:showLegendKey val="0"/>
          <c:showVal val="1"/>
          <c:showCatName val="0"/>
          <c:showSerName val="0"/>
          <c:showPercent val="0"/>
          <c:showBubbleSize val="0"/>
          <c:showLeaderLines val="1"/>
        </c:dLbls>
        <c:firstSliceAng val="0"/>
      </c:pieChart>
      <c:spPr>
        <a:noFill/>
        <a:ln>
          <a:noFill/>
        </a:ln>
        <a:effectLst/>
      </c:spPr>
    </c:plotArea>
    <c:legend>
      <c:legendPos val="t"/>
      <c:layout/>
      <c:overlay val="0"/>
      <c:spPr>
        <a:noFill/>
        <a:ln>
          <a:noFill/>
        </a:ln>
        <a:effectLst/>
      </c:spPr>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gap"/>
    <c:showDLblsOverMax val="0"/>
    <c:extLst>
      <c:ext uri="{0b15fc19-7d7d-44ad-8c2d-2c3a37ce22c3}">
        <chartProps xmlns="https://web.wps.cn/et/2018/main" chartId="{73a49a62-0896-4447-ada4-a5fb2227b913}"/>
      </c:ext>
    </c:extLst>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400" b="1" i="0" u="none" strike="noStrike" kern="1200" baseline="0">
                <a:solidFill>
                  <a:schemeClr val="tx1">
                    <a:lumMod val="75000"/>
                    <a:lumOff val="25000"/>
                  </a:schemeClr>
                </a:solidFill>
                <a:latin typeface="+mn-lt"/>
                <a:ea typeface="+mn-ea"/>
                <a:cs typeface="+mn-cs"/>
              </a:defRPr>
            </a:pPr>
            <a:r>
              <a:t>财政拨款收、支决算总计变动情况</a:t>
            </a:r>
          </a:p>
        </c:rich>
      </c:tx>
      <c:layout/>
      <c:overlay val="0"/>
      <c:spPr>
        <a:noFill/>
        <a:ln>
          <a:noFill/>
        </a:ln>
        <a:effectLst/>
      </c:spPr>
    </c:title>
    <c:autoTitleDeleted val="0"/>
    <c:plotArea>
      <c:layout/>
      <c:barChart>
        <c:barDir val="col"/>
        <c:grouping val="clustered"/>
        <c:varyColors val="0"/>
        <c:ser>
          <c:idx val="0"/>
          <c:order val="0"/>
          <c:spPr>
            <a:solidFill>
              <a:srgbClr val="FFFF00"/>
            </a:solidFill>
            <a:ln>
              <a:noFill/>
            </a:ln>
            <a:effectLst/>
          </c:spPr>
          <c:invertIfNegative val="0"/>
          <c:dLbls>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lumMod val="75000"/>
                        <a:lumOff val="25000"/>
                      </a:schemeClr>
                    </a:solidFill>
                    <a:latin typeface="+mn-lt"/>
                    <a:ea typeface="+mn-ea"/>
                    <a:cs typeface="+mn-cs"/>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'[新建 XLS 工作表.xls]Sheet1'!$G$9:$H$9</c:f>
              <c:strCache>
                <c:ptCount val="2"/>
                <c:pt idx="0">
                  <c:v>2024年度财政拨款收入、支出总计</c:v>
                </c:pt>
                <c:pt idx="1">
                  <c:v>2023年度财政拨款收入、支出总计</c:v>
                </c:pt>
              </c:strCache>
            </c:strRef>
          </c:cat>
          <c:val>
            <c:numRef>
              <c:f>'[新建 XLS 工作表.xls]Sheet1'!$G$10:$H$10</c:f>
              <c:numCache>
                <c:formatCode>General</c:formatCode>
                <c:ptCount val="2"/>
                <c:pt idx="0">
                  <c:v>1028.63</c:v>
                </c:pt>
                <c:pt idx="1">
                  <c:v>934.29</c:v>
                </c:pt>
              </c:numCache>
            </c:numRef>
          </c:val>
        </c:ser>
        <c:dLbls>
          <c:showLegendKey val="0"/>
          <c:showVal val="1"/>
          <c:showCatName val="0"/>
          <c:showSerName val="0"/>
          <c:showPercent val="0"/>
          <c:showBubbleSize val="0"/>
        </c:dLbls>
        <c:gapWidth val="246"/>
        <c:overlap val="-28"/>
        <c:axId val="943806001"/>
        <c:axId val="126478898"/>
      </c:barChart>
      <c:catAx>
        <c:axId val="943806001"/>
        <c:scaling>
          <c:orientation val="minMax"/>
        </c:scaling>
        <c:delete val="0"/>
        <c:axPos val="b"/>
        <c:majorTickMark val="none"/>
        <c:minorTickMark val="none"/>
        <c:tickLblPos val="nextTo"/>
        <c:spPr>
          <a:noFill/>
          <a:ln w="9525" cap="flat" cmpd="sng" algn="ctr">
            <a:solidFill>
              <a:schemeClr val="tx1">
                <a:lumMod val="15000"/>
                <a:lumOff val="85000"/>
              </a:schemeClr>
            </a:solidFill>
            <a:round/>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126478898"/>
        <c:crosses val="autoZero"/>
        <c:auto val="1"/>
        <c:lblAlgn val="ctr"/>
        <c:lblOffset val="100"/>
        <c:noMultiLvlLbl val="0"/>
      </c:catAx>
      <c:valAx>
        <c:axId val="126478898"/>
        <c:scaling>
          <c:orientation val="minMax"/>
        </c:scaling>
        <c:delete val="0"/>
        <c:axPos val="l"/>
        <c:majorGridlines>
          <c:spPr>
            <a:ln w="9525" cap="flat" cmpd="sng" algn="ctr">
              <a:solidFill>
                <a:schemeClr val="lt1">
                  <a:lumMod val="90200"/>
                </a:schemeClr>
              </a:solidFill>
              <a:round/>
            </a:ln>
            <a:effectLst/>
          </c:spPr>
        </c:majorGridlines>
        <c:numFmt formatCode="General" sourceLinked="1"/>
        <c:majorTickMark val="none"/>
        <c:minorTickMark val="none"/>
        <c:tickLblPos val="nextTo"/>
        <c:spPr>
          <a:noFill/>
          <a:ln>
            <a:noFill/>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943806001"/>
        <c:crosses val="autoZero"/>
        <c:crossBetween val="between"/>
      </c:valAx>
      <c:spPr>
        <a:noFill/>
        <a:ln>
          <a:noFill/>
        </a:ln>
        <a:effectLst/>
      </c:spPr>
    </c:plotArea>
    <c:plotVisOnly val="1"/>
    <c:dispBlanksAs val="gap"/>
    <c:showDLblsOverMax val="0"/>
    <c:extLst>
      <c:ext uri="{0b15fc19-7d7d-44ad-8c2d-2c3a37ce22c3}">
        <chartProps xmlns="https://web.wps.cn/et/2018/main" chartId="{e0adf151-9099-46a2-9fed-f7769a28afc8}"/>
      </c:ext>
    </c:extLst>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400" b="1" i="0" u="none" strike="noStrike" kern="1200" baseline="0">
                <a:solidFill>
                  <a:schemeClr val="tx1">
                    <a:lumMod val="75000"/>
                    <a:lumOff val="25000"/>
                  </a:schemeClr>
                </a:solidFill>
                <a:latin typeface="+mn-lt"/>
                <a:ea typeface="+mn-ea"/>
                <a:cs typeface="+mn-cs"/>
              </a:defRPr>
            </a:pPr>
            <a:r>
              <a:t>一般公共预算财政拨款支出决算变动情况</a:t>
            </a:r>
          </a:p>
        </c:rich>
      </c:tx>
      <c:layout/>
      <c:overlay val="0"/>
      <c:spPr>
        <a:noFill/>
        <a:ln>
          <a:noFill/>
        </a:ln>
        <a:effectLst/>
      </c:spPr>
    </c:title>
    <c:autoTitleDeleted val="0"/>
    <c:plotArea>
      <c:layout/>
      <c:barChart>
        <c:barDir val="col"/>
        <c:grouping val="clustered"/>
        <c:varyColors val="0"/>
        <c:ser>
          <c:idx val="0"/>
          <c:order val="0"/>
          <c:spPr>
            <a:solidFill>
              <a:schemeClr val="accent1">
                <a:lumMod val="60000"/>
                <a:lumOff val="40000"/>
              </a:schemeClr>
            </a:solidFill>
            <a:ln>
              <a:noFill/>
            </a:ln>
            <a:effectLst/>
          </c:spPr>
          <c:invertIfNegative val="0"/>
          <c:dLbls>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lumMod val="75000"/>
                        <a:lumOff val="25000"/>
                      </a:schemeClr>
                    </a:solidFill>
                    <a:latin typeface="+mn-lt"/>
                    <a:ea typeface="+mn-ea"/>
                    <a:cs typeface="+mn-cs"/>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'[新建 XLS 工作表.xls]Sheet1'!$G$9:$H$9</c:f>
              <c:strCache>
                <c:ptCount val="2"/>
                <c:pt idx="0">
                  <c:v>2024年度一般公共预算财政拨款支出</c:v>
                </c:pt>
                <c:pt idx="1">
                  <c:v>2023年度一般公共预算财政拨款支出</c:v>
                </c:pt>
              </c:strCache>
            </c:strRef>
          </c:cat>
          <c:val>
            <c:numRef>
              <c:f>'[新建 XLS 工作表.xls]Sheet1'!$G$10:$H$10</c:f>
              <c:numCache>
                <c:formatCode>General</c:formatCode>
                <c:ptCount val="2"/>
                <c:pt idx="0">
                  <c:v>983.9</c:v>
                </c:pt>
                <c:pt idx="1">
                  <c:v>926.29</c:v>
                </c:pt>
              </c:numCache>
            </c:numRef>
          </c:val>
        </c:ser>
        <c:dLbls>
          <c:showLegendKey val="0"/>
          <c:showVal val="1"/>
          <c:showCatName val="0"/>
          <c:showSerName val="0"/>
          <c:showPercent val="0"/>
          <c:showBubbleSize val="0"/>
        </c:dLbls>
        <c:gapWidth val="246"/>
        <c:overlap val="-28"/>
        <c:axId val="612113745"/>
        <c:axId val="64087132"/>
      </c:barChart>
      <c:catAx>
        <c:axId val="612113745"/>
        <c:scaling>
          <c:orientation val="minMax"/>
        </c:scaling>
        <c:delete val="0"/>
        <c:axPos val="b"/>
        <c:majorTickMark val="none"/>
        <c:minorTickMark val="none"/>
        <c:tickLblPos val="nextTo"/>
        <c:spPr>
          <a:noFill/>
          <a:ln w="9525" cap="flat" cmpd="sng" algn="ctr">
            <a:solidFill>
              <a:schemeClr val="tx1">
                <a:lumMod val="15000"/>
                <a:lumOff val="85000"/>
              </a:schemeClr>
            </a:solidFill>
            <a:round/>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64087132"/>
        <c:crosses val="autoZero"/>
        <c:auto val="1"/>
        <c:lblAlgn val="ctr"/>
        <c:lblOffset val="100"/>
        <c:noMultiLvlLbl val="0"/>
      </c:catAx>
      <c:valAx>
        <c:axId val="64087132"/>
        <c:scaling>
          <c:orientation val="minMax"/>
        </c:scaling>
        <c:delete val="0"/>
        <c:axPos val="l"/>
        <c:majorGridlines>
          <c:spPr>
            <a:ln w="9525" cap="flat" cmpd="sng" algn="ctr">
              <a:solidFill>
                <a:schemeClr val="lt1">
                  <a:lumMod val="90200"/>
                </a:schemeClr>
              </a:solidFill>
              <a:round/>
            </a:ln>
            <a:effectLst/>
          </c:spPr>
        </c:majorGridlines>
        <c:numFmt formatCode="General" sourceLinked="1"/>
        <c:majorTickMark val="none"/>
        <c:minorTickMark val="none"/>
        <c:tickLblPos val="nextTo"/>
        <c:spPr>
          <a:noFill/>
          <a:ln>
            <a:noFill/>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612113745"/>
        <c:crosses val="autoZero"/>
        <c:crossBetween val="between"/>
      </c:valAx>
      <c:spPr>
        <a:noFill/>
        <a:ln>
          <a:noFill/>
        </a:ln>
        <a:effectLst/>
      </c:spPr>
    </c:plotArea>
    <c:plotVisOnly val="1"/>
    <c:dispBlanksAs val="gap"/>
    <c:showDLblsOverMax val="0"/>
    <c:extLst>
      <c:ext uri="{0b15fc19-7d7d-44ad-8c2d-2c3a37ce22c3}">
        <chartProps xmlns="https://web.wps.cn/et/2018/main" chartId="{387fb957-b8d7-4b8a-a399-e40aaa86b1f7}"/>
      </c:ext>
    </c:extLst>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400" b="1" i="0" u="none" strike="noStrike" kern="1200" baseline="0">
                <a:solidFill>
                  <a:schemeClr val="tx1">
                    <a:lumMod val="75000"/>
                    <a:lumOff val="25000"/>
                  </a:schemeClr>
                </a:solidFill>
                <a:latin typeface="+mn-lt"/>
                <a:ea typeface="+mn-ea"/>
                <a:cs typeface="+mn-cs"/>
              </a:defRPr>
            </a:pPr>
            <a:r>
              <a:t>一般公共预算财政拨款支出</a:t>
            </a:r>
          </a:p>
        </c:rich>
      </c:tx>
      <c:layout/>
      <c:overlay val="0"/>
      <c:spPr>
        <a:noFill/>
        <a:ln>
          <a:noFill/>
        </a:ln>
        <a:effectLst/>
      </c:spPr>
    </c:title>
    <c:autoTitleDeleted val="0"/>
    <c:plotArea>
      <c:layout/>
      <c:pieChart>
        <c:varyColors val="1"/>
        <c:ser>
          <c:idx val="0"/>
          <c:order val="0"/>
          <c:spPr/>
          <c:explosion val="0"/>
          <c:dPt>
            <c:idx val="0"/>
            <c:bubble3D val="0"/>
            <c:spPr>
              <a:solidFill>
                <a:schemeClr val="accent1"/>
              </a:solidFill>
              <a:ln>
                <a:solidFill>
                  <a:schemeClr val="bg1"/>
                </a:solidFill>
              </a:ln>
              <a:effectLst/>
            </c:spPr>
          </c:dPt>
          <c:dPt>
            <c:idx val="1"/>
            <c:bubble3D val="0"/>
            <c:spPr>
              <a:solidFill>
                <a:schemeClr val="accent2"/>
              </a:solidFill>
              <a:ln>
                <a:solidFill>
                  <a:schemeClr val="bg1"/>
                </a:solidFill>
              </a:ln>
              <a:effectLst/>
            </c:spPr>
          </c:dPt>
          <c:dPt>
            <c:idx val="2"/>
            <c:bubble3D val="0"/>
            <c:spPr>
              <a:solidFill>
                <a:schemeClr val="accent3"/>
              </a:solidFill>
              <a:ln>
                <a:solidFill>
                  <a:schemeClr val="bg1"/>
                </a:solidFill>
              </a:ln>
              <a:effectLst/>
            </c:spPr>
          </c:dPt>
          <c:dPt>
            <c:idx val="3"/>
            <c:bubble3D val="0"/>
            <c:spPr>
              <a:solidFill>
                <a:schemeClr val="accent4"/>
              </a:solidFill>
              <a:ln>
                <a:solidFill>
                  <a:schemeClr val="bg1"/>
                </a:solidFill>
              </a:ln>
              <a:effectLst/>
            </c:spPr>
          </c:dPt>
          <c:dPt>
            <c:idx val="4"/>
            <c:bubble3D val="0"/>
            <c:spPr>
              <a:solidFill>
                <a:schemeClr val="accent5"/>
              </a:solidFill>
              <a:ln>
                <a:solidFill>
                  <a:schemeClr val="bg1"/>
                </a:solidFill>
              </a:ln>
              <a:effectLst/>
            </c:spPr>
          </c:dPt>
          <c:dLbls>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lumMod val="75000"/>
                        <a:lumOff val="25000"/>
                      </a:schemeClr>
                    </a:solidFill>
                    <a:latin typeface="+mn-lt"/>
                    <a:ea typeface="+mn-ea"/>
                    <a:cs typeface="+mn-cs"/>
                  </a:defRPr>
                </a:pPr>
              </a:p>
            </c:txPr>
            <c:dLblPos val="outEnd"/>
            <c:showLegendKey val="0"/>
            <c:showVal val="1"/>
            <c:showCatName val="0"/>
            <c:showSerName val="0"/>
            <c:showPercent val="0"/>
            <c:showBubbleSize val="0"/>
            <c:showLeaderLines val="1"/>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[工作簿1]Sheet1!$F$14:$J$14</c:f>
              <c:strCache>
                <c:ptCount val="5"/>
                <c:pt idx="0">
                  <c:v>文化旅游体育与传媒支出</c:v>
                </c:pt>
                <c:pt idx="1">
                  <c:v>社会保障和就业支出</c:v>
                </c:pt>
                <c:pt idx="2">
                  <c:v>卫生健康支出</c:v>
                </c:pt>
                <c:pt idx="3">
                  <c:v>农林水支出</c:v>
                </c:pt>
                <c:pt idx="4">
                  <c:v>住房保障支出</c:v>
                </c:pt>
              </c:strCache>
            </c:strRef>
          </c:cat>
          <c:val>
            <c:numRef>
              <c:f>[工作簿1]Sheet1!$F$15:$J$15</c:f>
              <c:numCache>
                <c:formatCode>General</c:formatCode>
                <c:ptCount val="5"/>
                <c:pt idx="0">
                  <c:v>856.76</c:v>
                </c:pt>
                <c:pt idx="1">
                  <c:v>74.89</c:v>
                </c:pt>
                <c:pt idx="2">
                  <c:v>14.57</c:v>
                </c:pt>
                <c:pt idx="3">
                  <c:v>1.5</c:v>
                </c:pt>
                <c:pt idx="4">
                  <c:v>36.18</c:v>
                </c:pt>
              </c:numCache>
            </c:numRef>
          </c:val>
        </c:ser>
        <c:dLbls>
          <c:showLegendKey val="0"/>
          <c:showVal val="1"/>
          <c:showCatName val="0"/>
          <c:showSerName val="0"/>
          <c:showPercent val="0"/>
          <c:showBubbleSize val="0"/>
          <c:showLeaderLines val="1"/>
        </c:dLbls>
        <c:firstSliceAng val="0"/>
      </c:pieChart>
      <c:spPr>
        <a:noFill/>
        <a:ln>
          <a:noFill/>
        </a:ln>
        <a:effectLst/>
      </c:spPr>
    </c:plotArea>
    <c:legend>
      <c:legendPos val="t"/>
      <c:layout/>
      <c:overlay val="0"/>
      <c:spPr>
        <a:noFill/>
        <a:ln>
          <a:noFill/>
        </a:ln>
        <a:effectLst/>
      </c:spPr>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gap"/>
    <c:showDLblsOverMax val="0"/>
    <c:extLst>
      <c:ext uri="{0b15fc19-7d7d-44ad-8c2d-2c3a37ce22c3}">
        <chartProps xmlns="https://web.wps.cn/et/2018/main" chartId="{32d886b9-af30-4acb-a089-1ee19e0aade8}"/>
      </c:ext>
    </c:extLst>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400" b="1" i="0" u="none" strike="noStrike" kern="1200" baseline="0">
                <a:solidFill>
                  <a:schemeClr val="tx1">
                    <a:lumMod val="75000"/>
                    <a:lumOff val="25000"/>
                  </a:schemeClr>
                </a:solidFill>
                <a:latin typeface="+mn-lt"/>
                <a:ea typeface="+mn-ea"/>
                <a:cs typeface="+mn-cs"/>
              </a:defRPr>
            </a:pPr>
            <a:r>
              <a:t>“三公”经费财政拨款支出</a:t>
            </a:r>
          </a:p>
        </c:rich>
      </c:tx>
      <c:layout/>
      <c:overlay val="0"/>
      <c:spPr>
        <a:noFill/>
        <a:ln>
          <a:noFill/>
        </a:ln>
        <a:effectLst/>
      </c:spPr>
    </c:title>
    <c:autoTitleDeleted val="0"/>
    <c:plotArea>
      <c:layout/>
      <c:pieChart>
        <c:varyColors val="1"/>
        <c:ser>
          <c:idx val="0"/>
          <c:order val="0"/>
          <c:spPr/>
          <c:explosion val="0"/>
          <c:dPt>
            <c:idx val="0"/>
            <c:bubble3D val="0"/>
            <c:spPr>
              <a:solidFill>
                <a:schemeClr val="accent1"/>
              </a:solidFill>
              <a:ln>
                <a:solidFill>
                  <a:schemeClr val="bg1"/>
                </a:solidFill>
              </a:ln>
              <a:effectLst/>
            </c:spPr>
          </c:dPt>
          <c:dPt>
            <c:idx val="1"/>
            <c:bubble3D val="0"/>
            <c:spPr>
              <a:solidFill>
                <a:schemeClr val="accent2"/>
              </a:solidFill>
              <a:ln>
                <a:solidFill>
                  <a:schemeClr val="bg1"/>
                </a:solidFill>
              </a:ln>
              <a:effectLst/>
            </c:spPr>
          </c:dPt>
          <c:dLbls>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lumMod val="75000"/>
                        <a:lumOff val="25000"/>
                      </a:schemeClr>
                    </a:solidFill>
                    <a:latin typeface="+mn-lt"/>
                    <a:ea typeface="+mn-ea"/>
                    <a:cs typeface="+mn-cs"/>
                  </a:defRPr>
                </a:pPr>
              </a:p>
            </c:txPr>
            <c:dLblPos val="bestFit"/>
            <c:showLegendKey val="0"/>
            <c:showVal val="1"/>
            <c:showCatName val="0"/>
            <c:showSerName val="0"/>
            <c:showPercent val="0"/>
            <c:showBubbleSize val="0"/>
            <c:showLeaderLines val="1"/>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[工作簿1]Sheet1!$F$14:$G$14</c:f>
              <c:strCache>
                <c:ptCount val="2"/>
                <c:pt idx="0">
                  <c:v>公务用车购置及运行维护费支出</c:v>
                </c:pt>
                <c:pt idx="1">
                  <c:v>公务接待费支出</c:v>
                </c:pt>
              </c:strCache>
            </c:strRef>
          </c:cat>
          <c:val>
            <c:numRef>
              <c:f>[工作簿1]Sheet1!$F$15:$G$15</c:f>
              <c:numCache>
                <c:formatCode>General</c:formatCode>
                <c:ptCount val="2"/>
                <c:pt idx="0">
                  <c:v>0.92</c:v>
                </c:pt>
                <c:pt idx="1">
                  <c:v>1.65</c:v>
                </c:pt>
              </c:numCache>
            </c:numRef>
          </c:val>
        </c:ser>
        <c:dLbls>
          <c:showLegendKey val="0"/>
          <c:showVal val="1"/>
          <c:showCatName val="0"/>
          <c:showSerName val="0"/>
          <c:showPercent val="0"/>
          <c:showBubbleSize val="0"/>
          <c:showLeaderLines val="1"/>
        </c:dLbls>
        <c:firstSliceAng val="0"/>
      </c:pieChart>
      <c:spPr>
        <a:noFill/>
        <a:ln>
          <a:noFill/>
        </a:ln>
        <a:effectLst/>
      </c:spPr>
    </c:plotArea>
    <c:legend>
      <c:legendPos val="t"/>
      <c:layout/>
      <c:overlay val="0"/>
      <c:spPr>
        <a:noFill/>
        <a:ln>
          <a:noFill/>
        </a:ln>
        <a:effectLst/>
      </c:spPr>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gap"/>
    <c:showDLblsOverMax val="0"/>
    <c:extLst>
      <c:ext uri="{0b15fc19-7d7d-44ad-8c2d-2c3a37ce22c3}">
        <chartProps xmlns="https://web.wps.cn/et/2018/main" chartId="{29c73af7-63ba-4414-baee-fd9e591f921c}"/>
      </c:ext>
    </c:extLst>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5.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6.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7.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100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10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1000" kern="1200"/>
    <cs:bodyPr rot="0" spcFirstLastPara="1" vertOverflow="clip" horzOverflow="clip" vert="horz" wrap="square" lIns="36576" tIns="18288" rIns="36576" bIns="18288" anchor="ctr" anchorCtr="1">
      <a:spAutoFit/>
    </cs:bodyPr>
  </cs:dataLabelCallout>
  <cs:dataPoint>
    <cs:lnRef idx="0">
      <cs:styleClr val="auto"/>
    </cs:lnRef>
    <cs:fillRef idx="1">
      <cs:styleClr val="auto"/>
    </cs:fillRef>
    <cs:effectRef idx="0"/>
    <cs:fontRef idx="minor">
      <a:schemeClr val="dk1"/>
    </cs:fontRef>
    <cs:spPr>
      <a:ln>
        <a:noFill/>
      </a:ln>
      <a:effectLst/>
    </cs:spPr>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lt1">
            <a:lumMod val="902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75000"/>
        <a:lumOff val="25000"/>
      </a:schemeClr>
    </cs:fontRef>
    <cs:defRPr sz="1400" b="1" kern="120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10082">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10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1000" kern="1200"/>
    <cs:bodyPr rot="0" spcFirstLastPara="1" vertOverflow="clip" horzOverflow="clip" vert="horz" wrap="square" lIns="36576" tIns="18288" rIns="36576" bIns="18288" anchor="ctr" anchorCtr="1">
      <a:spAutoFit/>
    </cs:bodyPr>
  </cs:dataLabelCallout>
  <cs:dataPoint>
    <cs:lnRef idx="0">
      <cs:styleClr val="auto"/>
    </cs:lnRef>
    <cs:fillRef idx="1">
      <cs:styleClr val="auto"/>
    </cs:fillRef>
    <cs:effectRef idx="0"/>
    <cs:fontRef idx="minor">
      <a:schemeClr val="dk1"/>
    </cs:fontRef>
    <cs:spPr>
      <a:ln>
        <a:solidFill>
          <a:schemeClr val="bg1"/>
        </a:solidFill>
      </a:ln>
      <a:effectLst/>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lt1">
            <a:lumMod val="902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75000"/>
        <a:lumOff val="25000"/>
      </a:schemeClr>
    </cs:fontRef>
    <cs:defRPr sz="1400" b="1" kern="120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3.xml><?xml version="1.0" encoding="utf-8"?>
<cs:chartStyle xmlns:cs="http://schemas.microsoft.com/office/drawing/2012/chartStyle" xmlns:a="http://schemas.openxmlformats.org/drawingml/2006/main" id="10082">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10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1000" kern="1200"/>
    <cs:bodyPr rot="0" spcFirstLastPara="1" vertOverflow="clip" horzOverflow="clip" vert="horz" wrap="square" lIns="36576" tIns="18288" rIns="36576" bIns="18288" anchor="ctr" anchorCtr="1">
      <a:spAutoFit/>
    </cs:bodyPr>
  </cs:dataLabelCallout>
  <cs:dataPoint>
    <cs:lnRef idx="0">
      <cs:styleClr val="auto"/>
    </cs:lnRef>
    <cs:fillRef idx="1">
      <cs:styleClr val="auto"/>
    </cs:fillRef>
    <cs:effectRef idx="0"/>
    <cs:fontRef idx="minor">
      <a:schemeClr val="dk1"/>
    </cs:fontRef>
    <cs:spPr>
      <a:ln>
        <a:solidFill>
          <a:schemeClr val="bg1"/>
        </a:solidFill>
      </a:ln>
      <a:effectLst/>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lt1">
            <a:lumMod val="902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75000"/>
        <a:lumOff val="25000"/>
      </a:schemeClr>
    </cs:fontRef>
    <cs:defRPr sz="1400" b="1" kern="120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4.xml><?xml version="1.0" encoding="utf-8"?>
<cs:chartStyle xmlns:cs="http://schemas.microsoft.com/office/drawing/2012/chartStyle" xmlns:a="http://schemas.openxmlformats.org/drawingml/2006/main" id="100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10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1000" kern="1200"/>
    <cs:bodyPr rot="0" spcFirstLastPara="1" vertOverflow="clip" horzOverflow="clip" vert="horz" wrap="square" lIns="36576" tIns="18288" rIns="36576" bIns="18288" anchor="ctr" anchorCtr="1">
      <a:spAutoFit/>
    </cs:bodyPr>
  </cs:dataLabelCallout>
  <cs:dataPoint>
    <cs:lnRef idx="0">
      <cs:styleClr val="auto"/>
    </cs:lnRef>
    <cs:fillRef idx="1">
      <cs:styleClr val="auto"/>
    </cs:fillRef>
    <cs:effectRef idx="0"/>
    <cs:fontRef idx="minor">
      <a:schemeClr val="dk1"/>
    </cs:fontRef>
    <cs:spPr>
      <a:ln>
        <a:noFill/>
      </a:ln>
      <a:effectLst/>
    </cs:spPr>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lt1">
            <a:lumMod val="902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75000"/>
        <a:lumOff val="25000"/>
      </a:schemeClr>
    </cs:fontRef>
    <cs:defRPr sz="1400" b="1" kern="120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5.xml><?xml version="1.0" encoding="utf-8"?>
<cs:chartStyle xmlns:cs="http://schemas.microsoft.com/office/drawing/2012/chartStyle" xmlns:a="http://schemas.openxmlformats.org/drawingml/2006/main" id="100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10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1000" kern="1200"/>
    <cs:bodyPr rot="0" spcFirstLastPara="1" vertOverflow="clip" horzOverflow="clip" vert="horz" wrap="square" lIns="36576" tIns="18288" rIns="36576" bIns="18288" anchor="ctr" anchorCtr="1">
      <a:spAutoFit/>
    </cs:bodyPr>
  </cs:dataLabelCallout>
  <cs:dataPoint>
    <cs:lnRef idx="0">
      <cs:styleClr val="auto"/>
    </cs:lnRef>
    <cs:fillRef idx="1">
      <cs:styleClr val="auto"/>
    </cs:fillRef>
    <cs:effectRef idx="0"/>
    <cs:fontRef idx="minor">
      <a:schemeClr val="dk1"/>
    </cs:fontRef>
    <cs:spPr>
      <a:ln>
        <a:noFill/>
      </a:ln>
      <a:effectLst/>
    </cs:spPr>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lt1">
            <a:lumMod val="902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75000"/>
        <a:lumOff val="25000"/>
      </a:schemeClr>
    </cs:fontRef>
    <cs:defRPr sz="1400" b="1" kern="120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6.xml><?xml version="1.0" encoding="utf-8"?>
<cs:chartStyle xmlns:cs="http://schemas.microsoft.com/office/drawing/2012/chartStyle" xmlns:a="http://schemas.openxmlformats.org/drawingml/2006/main" id="10082">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10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1000" kern="1200"/>
    <cs:bodyPr rot="0" spcFirstLastPara="1" vertOverflow="clip" horzOverflow="clip" vert="horz" wrap="square" lIns="36576" tIns="18288" rIns="36576" bIns="18288" anchor="ctr" anchorCtr="1">
      <a:spAutoFit/>
    </cs:bodyPr>
  </cs:dataLabelCallout>
  <cs:dataPoint>
    <cs:lnRef idx="0">
      <cs:styleClr val="auto"/>
    </cs:lnRef>
    <cs:fillRef idx="1">
      <cs:styleClr val="auto"/>
    </cs:fillRef>
    <cs:effectRef idx="0"/>
    <cs:fontRef idx="minor">
      <a:schemeClr val="dk1"/>
    </cs:fontRef>
    <cs:spPr>
      <a:ln>
        <a:solidFill>
          <a:schemeClr val="bg1"/>
        </a:solidFill>
      </a:ln>
      <a:effectLst/>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lt1">
            <a:lumMod val="902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75000"/>
        <a:lumOff val="25000"/>
      </a:schemeClr>
    </cs:fontRef>
    <cs:defRPr sz="1400" b="1" kern="120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7.xml><?xml version="1.0" encoding="utf-8"?>
<cs:chartStyle xmlns:cs="http://schemas.microsoft.com/office/drawing/2012/chartStyle" xmlns:a="http://schemas.openxmlformats.org/drawingml/2006/main" id="10082">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10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1000" kern="1200"/>
    <cs:bodyPr rot="0" spcFirstLastPara="1" vertOverflow="clip" horzOverflow="clip" vert="horz" wrap="square" lIns="36576" tIns="18288" rIns="36576" bIns="18288" anchor="ctr" anchorCtr="1">
      <a:spAutoFit/>
    </cs:bodyPr>
  </cs:dataLabelCallout>
  <cs:dataPoint>
    <cs:lnRef idx="0">
      <cs:styleClr val="auto"/>
    </cs:lnRef>
    <cs:fillRef idx="1">
      <cs:styleClr val="auto"/>
    </cs:fillRef>
    <cs:effectRef idx="0"/>
    <cs:fontRef idx="minor">
      <a:schemeClr val="dk1"/>
    </cs:fontRef>
    <cs:spPr>
      <a:ln>
        <a:solidFill>
          <a:schemeClr val="bg1"/>
        </a:solidFill>
      </a:ln>
      <a:effectLst/>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lt1">
            <a:lumMod val="902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75000"/>
        <a:lumOff val="25000"/>
      </a:schemeClr>
    </cs:fontRef>
    <cs:defRPr sz="1400" b="1" kern="120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四川省财政厅</Company>
  <Pages>32</Pages>
  <Words>12813</Words>
  <Characters>13651</Characters>
  <Lines>61</Lines>
  <Paragraphs>17</Paragraphs>
  <TotalTime>31</TotalTime>
  <ScaleCrop>false</ScaleCrop>
  <LinksUpToDate>false</LinksUpToDate>
  <CharactersWithSpaces>13723</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2020-08-09T09:49:00Z</dcterms:created>
  <dc:creator>曹颖</dc:creator>
  <cp:lastModifiedBy>赵丹</cp:lastModifiedBy>
  <cp:lastPrinted>2025-08-06T17:34:00Z</cp:lastPrinted>
  <dcterms:modified xsi:type="dcterms:W3CDTF">2025-09-19T03:26:27Z</dcterms:modified>
  <dc:title>四川省***</dc:title>
  <cp:revision>32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04787F2533EB45DC91BCDE4AB213247F</vt:lpwstr>
  </property>
  <property fmtid="{D5CDD505-2E9C-101B-9397-08002B2CF9AE}" pid="4" name="KSOTemplateDocerSaveRecord">
    <vt:lpwstr>eyJoZGlkIjoiZWM4NjYwZWRmNDU4N2Q0NzQ2MjE2NzU0NzYyOWVjYTUiLCJ1c2VySWQiOiIxNDg0MjEwNzM1In0=</vt:lpwstr>
  </property>
</Properties>
</file>