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9"/>
        <w:rPr>
          <w:rFonts w:ascii="方正小标宋简体" w:hAnsi="宋体" w:eastAsia="方正小标宋简体"/>
          <w:szCs w:val="21"/>
        </w:rPr>
      </w:pPr>
      <w:bookmarkStart w:id="0" w:name="_Toc15306267"/>
    </w:p>
    <w:p>
      <w:pPr>
        <w:pStyle w:val="2"/>
        <w:spacing w:before="93"/>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8830"/>
      <w:bookmarkStart w:id="3" w:name="_Toc15396475"/>
      <w:bookmarkStart w:id="4" w:name="_Toc15377193"/>
      <w:bookmarkStart w:id="5" w:name="_Toc15378441"/>
      <w:bookmarkStart w:id="6" w:name="_Toc15377425"/>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4</w:t>
      </w:r>
      <w:r>
        <w:rPr>
          <w:rFonts w:hint="eastAsia" w:ascii="方正小标宋简体" w:hAnsi="方正小标宋简体" w:eastAsia="方正小标宋简体" w:cs="方正小标宋简体"/>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7" w:name="_Toc15396476"/>
      <w:bookmarkStart w:id="8" w:name="_Toc15377194"/>
      <w:bookmarkStart w:id="9" w:name="_Toc15396598"/>
      <w:bookmarkStart w:id="10" w:name="_Toc6838"/>
      <w:bookmarkStart w:id="11" w:name="_Toc15378442"/>
      <w:bookmarkStart w:id="12" w:name="_Toc15377426"/>
      <w:r>
        <w:rPr>
          <w:rFonts w:hint="eastAsia" w:ascii="方正小标宋简体" w:hAnsi="方正小标宋简体" w:eastAsia="方正小标宋简体" w:cs="方正小标宋简体"/>
          <w:sz w:val="72"/>
          <w:szCs w:val="72"/>
        </w:rPr>
        <w:t>四川省</w:t>
      </w:r>
      <w:bookmarkEnd w:id="0"/>
      <w:bookmarkStart w:id="13" w:name="_Toc15306268"/>
      <w:r>
        <w:rPr>
          <w:rFonts w:hint="eastAsia" w:ascii="方正小标宋简体" w:hAnsi="方正小标宋简体" w:eastAsia="方正小标宋简体" w:cs="方正小标宋简体"/>
          <w:sz w:val="72"/>
          <w:szCs w:val="72"/>
          <w:lang w:eastAsia="zh-CN"/>
        </w:rPr>
        <w:t>乐山市金口河区交通运输局</w:t>
      </w:r>
      <w:r>
        <w:rPr>
          <w:rFonts w:hint="eastAsia" w:ascii="方正小标宋简体" w:hAnsi="方正小标宋简体" w:eastAsia="方正小标宋简体" w:cs="方正小标宋简体"/>
          <w:sz w:val="72"/>
          <w:szCs w:val="72"/>
        </w:rPr>
        <w:t>单位决算</w:t>
      </w:r>
      <w:bookmarkEnd w:id="7"/>
      <w:bookmarkEnd w:id="8"/>
      <w:bookmarkEnd w:id="9"/>
      <w:bookmarkEnd w:id="10"/>
      <w:bookmarkEnd w:id="11"/>
      <w:bookmarkEnd w:id="12"/>
      <w:bookmarkEnd w:id="13"/>
    </w:p>
    <w:p>
      <w:pPr>
        <w:pStyle w:val="19"/>
        <w:ind w:firstLine="2881" w:firstLineChars="400"/>
        <w:rPr>
          <w:rFonts w:hint="eastAsia" w:eastAsia="方正小标宋简体"/>
          <w:lang w:eastAsia="zh-CN"/>
        </w:rPr>
      </w:pPr>
      <w:r>
        <w:rPr>
          <w:rFonts w:hint="eastAsia" w:ascii="方正小标宋简体" w:hAnsi="方正小标宋简体" w:eastAsia="方正小标宋简体" w:cs="方正小标宋简体"/>
          <w:sz w:val="72"/>
          <w:szCs w:val="72"/>
          <w:lang w:eastAsia="zh-CN"/>
        </w:rPr>
        <w:t>编制说明</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w:t>
      </w:r>
      <w:r>
        <w:rPr>
          <w:rFonts w:hint="eastAsia"/>
          <w:lang w:val="en-US" w:eastAsia="zh-CN"/>
        </w:rPr>
        <w:t>4</w:t>
      </w:r>
      <w:r>
        <w:rPr>
          <w:rFonts w:hint="eastAsia"/>
        </w:rPr>
        <w:t>年9月</w:t>
      </w:r>
      <w:r>
        <w:rPr>
          <w:rFonts w:hint="eastAsia"/>
          <w:lang w:val="en-US" w:eastAsia="zh-CN"/>
        </w:rPr>
        <w:t>22</w:t>
      </w:r>
      <w:r>
        <w:rPr>
          <w:rFonts w:hint="eastAsia"/>
        </w:rPr>
        <w:t>日</w:t>
      </w:r>
    </w:p>
    <w:sdt>
      <w:sdtPr>
        <w:rPr>
          <w:rFonts w:ascii="宋体" w:hAnsi="宋体" w:eastAsia="宋体" w:cs="Times New Roman"/>
          <w:kern w:val="2"/>
          <w:sz w:val="21"/>
          <w:szCs w:val="24"/>
          <w:lang w:val="en-US" w:eastAsia="zh-CN" w:bidi="ar-SA"/>
        </w:rPr>
        <w:id w:val="147461441"/>
        <w15:color w:val="DBDBDB"/>
        <w:docPartObj>
          <w:docPartGallery w:val="Table of Contents"/>
          <w:docPartUnique/>
        </w:docPartObj>
      </w:sdtPr>
      <w:sdtEndPr>
        <w:rPr>
          <w:rFonts w:ascii="Times New Roman" w:hAnsi="Times New Roman" w:eastAsia="宋体" w:cs="Times New Roman"/>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34"/>
            <w:tabs>
              <w:tab w:val="right" w:leader="dot" w:pos="8306"/>
            </w:tabs>
            <w:rPr>
              <w:rFonts w:hint="eastAsia" w:ascii="仿宋" w:hAnsi="仿宋" w:eastAsia="仿宋" w:cs="仿宋"/>
              <w:b/>
              <w:sz w:val="28"/>
              <w:szCs w:val="28"/>
            </w:rPr>
          </w:pPr>
          <w:r>
            <w:fldChar w:fldCharType="begin"/>
          </w:r>
          <w:r>
            <w:instrText xml:space="preserve">TOC \o "1-2" \h \u </w:instrText>
          </w:r>
          <w:r>
            <w:fldChar w:fldCharType="separate"/>
          </w:r>
        </w:p>
        <w:p>
          <w:pPr>
            <w:pStyle w:val="34"/>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_Toc19902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第一部分 单位</w:t>
          </w:r>
          <w:r>
            <w:rPr>
              <w:rFonts w:hint="eastAsia" w:ascii="仿宋" w:hAnsi="仿宋" w:eastAsia="仿宋" w:cs="仿宋"/>
              <w:b/>
              <w:bCs w:val="0"/>
              <w:sz w:val="28"/>
              <w:szCs w:val="28"/>
            </w:rPr>
            <w:t>概况</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_Toc19902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_Toc2371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一、主要职责</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_Toc2371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_Toc20422 </w:instrText>
          </w:r>
          <w:r>
            <w:rPr>
              <w:rFonts w:hint="eastAsia" w:ascii="仿宋" w:hAnsi="仿宋" w:eastAsia="仿宋" w:cs="仿宋"/>
              <w:sz w:val="28"/>
              <w:szCs w:val="28"/>
            </w:rPr>
            <w:fldChar w:fldCharType="separate"/>
          </w:r>
          <w:r>
            <w:rPr>
              <w:rFonts w:hint="eastAsia" w:ascii="仿宋" w:hAnsi="仿宋" w:eastAsia="仿宋" w:cs="仿宋"/>
              <w:sz w:val="28"/>
              <w:szCs w:val="28"/>
            </w:rPr>
            <w:t>二、机构设置</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_Toc20422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_Toc27450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第二部分 2023年度</w:t>
          </w:r>
          <w:r>
            <w:rPr>
              <w:rFonts w:hint="eastAsia" w:ascii="仿宋" w:hAnsi="仿宋" w:eastAsia="仿宋" w:cs="仿宋"/>
              <w:b/>
              <w:bCs/>
              <w:sz w:val="28"/>
              <w:szCs w:val="28"/>
            </w:rPr>
            <w:t>单位决算情况说明</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_Toc27450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4</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_Toc32084 </w:instrText>
          </w:r>
          <w:r>
            <w:rPr>
              <w:rFonts w:hint="eastAsia" w:ascii="仿宋" w:hAnsi="仿宋" w:eastAsia="仿宋" w:cs="仿宋"/>
              <w:sz w:val="28"/>
              <w:szCs w:val="28"/>
            </w:rPr>
            <w:fldChar w:fldCharType="separate"/>
          </w:r>
          <w:r>
            <w:rPr>
              <w:rFonts w:hint="eastAsia" w:ascii="仿宋" w:hAnsi="仿宋" w:eastAsia="仿宋" w:cs="仿宋"/>
              <w:sz w:val="28"/>
              <w:szCs w:val="28"/>
            </w:rPr>
            <w:t>一、 收入支出决算总体情况说明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_Toc32084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_Toc17745 </w:instrText>
          </w:r>
          <w:r>
            <w:rPr>
              <w:rFonts w:hint="eastAsia" w:ascii="仿宋" w:hAnsi="仿宋" w:eastAsia="仿宋" w:cs="仿宋"/>
              <w:sz w:val="28"/>
              <w:szCs w:val="28"/>
            </w:rPr>
            <w:fldChar w:fldCharType="separate"/>
          </w:r>
          <w:r>
            <w:rPr>
              <w:rFonts w:hint="eastAsia" w:ascii="仿宋" w:hAnsi="仿宋" w:eastAsia="仿宋" w:cs="仿宋"/>
              <w:sz w:val="28"/>
              <w:szCs w:val="28"/>
            </w:rPr>
            <w:t>二、 收入决算情况说明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_Toc17745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_Toc374 </w:instrText>
          </w:r>
          <w:r>
            <w:rPr>
              <w:rFonts w:hint="eastAsia" w:ascii="仿宋" w:hAnsi="仿宋" w:eastAsia="仿宋" w:cs="仿宋"/>
              <w:sz w:val="28"/>
              <w:szCs w:val="28"/>
            </w:rPr>
            <w:fldChar w:fldCharType="separate"/>
          </w:r>
          <w:r>
            <w:rPr>
              <w:rFonts w:hint="eastAsia" w:ascii="仿宋" w:hAnsi="仿宋" w:eastAsia="仿宋" w:cs="仿宋"/>
              <w:sz w:val="28"/>
              <w:szCs w:val="28"/>
            </w:rPr>
            <w:t>三、 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_Toc374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_Toc12493 </w:instrText>
          </w:r>
          <w:r>
            <w:rPr>
              <w:rFonts w:hint="eastAsia" w:ascii="仿宋" w:hAnsi="仿宋" w:eastAsia="仿宋" w:cs="仿宋"/>
              <w:sz w:val="28"/>
              <w:szCs w:val="28"/>
            </w:rPr>
            <w:fldChar w:fldCharType="separate"/>
          </w:r>
          <w:r>
            <w:rPr>
              <w:rFonts w:hint="eastAsia" w:ascii="仿宋" w:hAnsi="仿宋" w:eastAsia="仿宋" w:cs="仿宋"/>
              <w:sz w:val="28"/>
              <w:szCs w:val="28"/>
            </w:rPr>
            <w:t>四、财政拨款收入支出决算总体情况说明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_Toc12493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_Toc13234 </w:instrText>
          </w:r>
          <w:r>
            <w:rPr>
              <w:rFonts w:hint="eastAsia" w:ascii="仿宋" w:hAnsi="仿宋" w:eastAsia="仿宋" w:cs="仿宋"/>
              <w:sz w:val="28"/>
              <w:szCs w:val="28"/>
            </w:rPr>
            <w:fldChar w:fldCharType="separate"/>
          </w:r>
          <w:r>
            <w:rPr>
              <w:rFonts w:hint="eastAsia" w:ascii="仿宋" w:hAnsi="仿宋" w:eastAsia="仿宋" w:cs="仿宋"/>
              <w:sz w:val="28"/>
              <w:szCs w:val="28"/>
            </w:rPr>
            <w:t>五、一般公共预算财政拨款支出决算情况说明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_Toc13234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_Toc11126 </w:instrText>
          </w:r>
          <w:r>
            <w:rPr>
              <w:rFonts w:hint="eastAsia" w:ascii="仿宋" w:hAnsi="仿宋" w:eastAsia="仿宋" w:cs="仿宋"/>
              <w:sz w:val="28"/>
              <w:szCs w:val="28"/>
            </w:rPr>
            <w:fldChar w:fldCharType="separate"/>
          </w:r>
          <w:r>
            <w:rPr>
              <w:rFonts w:hint="eastAsia" w:ascii="仿宋" w:hAnsi="仿宋" w:eastAsia="仿宋" w:cs="仿宋"/>
              <w:sz w:val="28"/>
              <w:szCs w:val="28"/>
            </w:rPr>
            <w:t>六、一般公共预算财政拨款基本支出决算情况说明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_Toc11126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_Toc1469 </w:instrText>
          </w:r>
          <w:r>
            <w:rPr>
              <w:rFonts w:hint="eastAsia" w:ascii="仿宋" w:hAnsi="仿宋" w:eastAsia="仿宋" w:cs="仿宋"/>
              <w:sz w:val="28"/>
              <w:szCs w:val="28"/>
            </w:rPr>
            <w:fldChar w:fldCharType="separate"/>
          </w:r>
          <w:r>
            <w:rPr>
              <w:rFonts w:hint="eastAsia" w:ascii="仿宋" w:hAnsi="仿宋" w:eastAsia="仿宋" w:cs="仿宋"/>
              <w:sz w:val="28"/>
              <w:szCs w:val="28"/>
            </w:rPr>
            <w:t>七、财政拨款“三公”经费支出决算情况说明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_Toc1469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_Toc10588 </w:instrText>
          </w:r>
          <w:r>
            <w:rPr>
              <w:rFonts w:hint="eastAsia" w:ascii="仿宋" w:hAnsi="仿宋" w:eastAsia="仿宋" w:cs="仿宋"/>
              <w:sz w:val="28"/>
              <w:szCs w:val="28"/>
            </w:rPr>
            <w:fldChar w:fldCharType="separate"/>
          </w:r>
          <w:r>
            <w:rPr>
              <w:rFonts w:hint="eastAsia" w:ascii="仿宋" w:hAnsi="仿宋" w:eastAsia="仿宋" w:cs="仿宋"/>
              <w:sz w:val="28"/>
              <w:szCs w:val="28"/>
            </w:rPr>
            <w:t>八、政府性基金预算支出决算情况说明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_Toc10588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_Toc404 </w:instrText>
          </w:r>
          <w:r>
            <w:rPr>
              <w:rFonts w:hint="eastAsia" w:ascii="仿宋" w:hAnsi="仿宋" w:eastAsia="仿宋" w:cs="仿宋"/>
              <w:sz w:val="28"/>
              <w:szCs w:val="28"/>
            </w:rPr>
            <w:fldChar w:fldCharType="separate"/>
          </w:r>
          <w:r>
            <w:rPr>
              <w:rFonts w:hint="eastAsia" w:ascii="仿宋" w:hAnsi="仿宋" w:eastAsia="仿宋" w:cs="仿宋"/>
              <w:sz w:val="28"/>
              <w:szCs w:val="28"/>
            </w:rPr>
            <w:t>九、 国有资本经营预算支出决算情况说明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_Toc404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_Toc24672 </w:instrText>
          </w:r>
          <w:r>
            <w:rPr>
              <w:rFonts w:hint="eastAsia" w:ascii="仿宋" w:hAnsi="仿宋" w:eastAsia="仿宋" w:cs="仿宋"/>
              <w:sz w:val="28"/>
              <w:szCs w:val="28"/>
            </w:rPr>
            <w:fldChar w:fldCharType="separate"/>
          </w:r>
          <w:r>
            <w:rPr>
              <w:rFonts w:hint="eastAsia" w:ascii="仿宋" w:hAnsi="仿宋" w:eastAsia="仿宋" w:cs="仿宋"/>
              <w:sz w:val="28"/>
              <w:szCs w:val="28"/>
            </w:rPr>
            <w:t>十、 其他重要事项的情况说明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_Toc24672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4"/>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_Toc15251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第三部分 名词解释</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_Toc15251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16</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4"/>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_Toc31077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第四部分 附件</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_Toc31077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20</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4"/>
            <w:tabs>
              <w:tab w:val="right" w:leader="dot" w:pos="8306"/>
            </w:tabs>
            <w:rPr>
              <w:rFonts w:hint="eastAsia" w:ascii="仿宋" w:hAnsi="仿宋" w:eastAsia="仿宋" w:cs="仿宋"/>
              <w:b/>
              <w:sz w:val="28"/>
              <w:szCs w:val="28"/>
              <w:lang w:val="en-US" w:eastAsia="zh-CN"/>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_Toc26611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第五部分 附表</w:t>
          </w:r>
          <w:r>
            <w:rPr>
              <w:rFonts w:hint="eastAsia" w:ascii="仿宋" w:hAnsi="仿宋" w:eastAsia="仿宋" w:cs="仿宋"/>
              <w:b/>
              <w:sz w:val="28"/>
              <w:szCs w:val="28"/>
            </w:rPr>
            <w:tab/>
          </w:r>
          <w:r>
            <w:rPr>
              <w:rFonts w:hint="eastAsia" w:ascii="仿宋" w:hAnsi="仿宋" w:eastAsia="仿宋" w:cs="仿宋"/>
              <w:b/>
              <w:sz w:val="28"/>
              <w:szCs w:val="28"/>
              <w:lang w:val="en-US" w:eastAsia="zh-CN"/>
            </w:rPr>
            <w:t>2</w:t>
          </w:r>
          <w:r>
            <w:rPr>
              <w:rFonts w:hint="eastAsia" w:ascii="仿宋" w:hAnsi="仿宋" w:eastAsia="仿宋" w:cs="仿宋"/>
              <w:b/>
              <w:sz w:val="28"/>
              <w:szCs w:val="28"/>
            </w:rPr>
            <w:fldChar w:fldCharType="end"/>
          </w:r>
          <w:r>
            <w:rPr>
              <w:rFonts w:hint="eastAsia" w:ascii="仿宋" w:hAnsi="仿宋" w:eastAsia="仿宋" w:cs="仿宋"/>
              <w:b/>
              <w:sz w:val="28"/>
              <w:szCs w:val="28"/>
              <w:lang w:val="en-US" w:eastAsia="zh-CN"/>
            </w:rPr>
            <w:t>8</w:t>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_Toc30800 </w:instrText>
          </w:r>
          <w:r>
            <w:rPr>
              <w:rFonts w:hint="eastAsia" w:ascii="仿宋" w:hAnsi="仿宋" w:eastAsia="仿宋" w:cs="仿宋"/>
              <w:sz w:val="28"/>
              <w:szCs w:val="28"/>
            </w:rPr>
            <w:fldChar w:fldCharType="separate"/>
          </w:r>
          <w:r>
            <w:rPr>
              <w:rFonts w:hint="eastAsia" w:ascii="仿宋" w:hAnsi="仿宋" w:eastAsia="仿宋" w:cs="仿宋"/>
              <w:sz w:val="28"/>
              <w:szCs w:val="28"/>
            </w:rPr>
            <w:t>一、收</w:t>
          </w:r>
          <w:r>
            <w:rPr>
              <w:rFonts w:hint="eastAsia" w:ascii="仿宋" w:hAnsi="仿宋" w:eastAsia="仿宋" w:cs="仿宋"/>
              <w:bCs w:val="0"/>
              <w:sz w:val="28"/>
              <w:szCs w:val="28"/>
            </w:rPr>
            <w:t>入支出决算总表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_Toc30800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_Toc31761 </w:instrText>
          </w:r>
          <w:r>
            <w:rPr>
              <w:rFonts w:hint="eastAsia" w:ascii="仿宋" w:hAnsi="仿宋" w:eastAsia="仿宋" w:cs="仿宋"/>
              <w:sz w:val="28"/>
              <w:szCs w:val="28"/>
            </w:rPr>
            <w:fldChar w:fldCharType="separate"/>
          </w:r>
          <w:r>
            <w:rPr>
              <w:rFonts w:hint="eastAsia" w:ascii="仿宋" w:hAnsi="仿宋" w:eastAsia="仿宋" w:cs="仿宋"/>
              <w:sz w:val="28"/>
              <w:szCs w:val="28"/>
            </w:rPr>
            <w:t>二、收</w:t>
          </w:r>
          <w:r>
            <w:rPr>
              <w:rFonts w:hint="eastAsia" w:ascii="仿宋" w:hAnsi="仿宋" w:eastAsia="仿宋" w:cs="仿宋"/>
              <w:bCs w:val="0"/>
              <w:sz w:val="28"/>
              <w:szCs w:val="28"/>
            </w:rPr>
            <w:t>入决算表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_Toc31761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_Toc8881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三、</w:t>
          </w:r>
          <w:r>
            <w:rPr>
              <w:rFonts w:hint="eastAsia" w:ascii="仿宋" w:hAnsi="仿宋" w:eastAsia="仿宋" w:cs="仿宋"/>
              <w:sz w:val="28"/>
              <w:szCs w:val="28"/>
            </w:rPr>
            <w:t>支</w:t>
          </w:r>
          <w:r>
            <w:rPr>
              <w:rFonts w:hint="eastAsia" w:ascii="仿宋" w:hAnsi="仿宋" w:eastAsia="仿宋" w:cs="仿宋"/>
              <w:bCs w:val="0"/>
              <w:sz w:val="28"/>
              <w:szCs w:val="28"/>
            </w:rPr>
            <w:t>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_Toc8881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_Toc26582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四、</w:t>
          </w:r>
          <w:r>
            <w:rPr>
              <w:rFonts w:hint="eastAsia" w:ascii="仿宋" w:hAnsi="仿宋" w:eastAsia="仿宋" w:cs="仿宋"/>
              <w:sz w:val="28"/>
              <w:szCs w:val="28"/>
            </w:rPr>
            <w:t>财</w:t>
          </w:r>
          <w:r>
            <w:rPr>
              <w:rFonts w:hint="eastAsia" w:ascii="仿宋" w:hAnsi="仿宋" w:eastAsia="仿宋" w:cs="仿宋"/>
              <w:bCs w:val="0"/>
              <w:sz w:val="28"/>
              <w:szCs w:val="28"/>
            </w:rPr>
            <w:t>政拨款收入支出决算总表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_Toc26582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_Toc16713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五、</w:t>
          </w:r>
          <w:r>
            <w:rPr>
              <w:rFonts w:hint="eastAsia" w:ascii="仿宋" w:hAnsi="仿宋" w:eastAsia="仿宋" w:cs="仿宋"/>
              <w:sz w:val="28"/>
              <w:szCs w:val="28"/>
            </w:rPr>
            <w:t>财</w:t>
          </w:r>
          <w:r>
            <w:rPr>
              <w:rFonts w:hint="eastAsia" w:ascii="仿宋" w:hAnsi="仿宋" w:eastAsia="仿宋" w:cs="仿宋"/>
              <w:bCs w:val="0"/>
              <w:sz w:val="28"/>
              <w:szCs w:val="28"/>
            </w:rPr>
            <w:t>政拨款支出决算明细表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_Toc16713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_Toc32374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六、</w:t>
          </w:r>
          <w:r>
            <w:rPr>
              <w:rFonts w:hint="eastAsia" w:ascii="仿宋" w:hAnsi="仿宋" w:eastAsia="仿宋" w:cs="仿宋"/>
              <w:sz w:val="28"/>
              <w:szCs w:val="28"/>
            </w:rPr>
            <w:t>一</w:t>
          </w:r>
          <w:r>
            <w:rPr>
              <w:rFonts w:hint="eastAsia" w:ascii="仿宋" w:hAnsi="仿宋" w:eastAsia="仿宋" w:cs="仿宋"/>
              <w:bCs w:val="0"/>
              <w:sz w:val="28"/>
              <w:szCs w:val="28"/>
            </w:rPr>
            <w:t>般公共预算财政拨款支出决算表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_Toc32374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_Toc24013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七、</w:t>
          </w:r>
          <w:r>
            <w:rPr>
              <w:rFonts w:hint="eastAsia" w:ascii="仿宋" w:hAnsi="仿宋" w:eastAsia="仿宋" w:cs="仿宋"/>
              <w:sz w:val="28"/>
              <w:szCs w:val="28"/>
            </w:rPr>
            <w:t>一</w:t>
          </w:r>
          <w:r>
            <w:rPr>
              <w:rFonts w:hint="eastAsia" w:ascii="仿宋" w:hAnsi="仿宋" w:eastAsia="仿宋" w:cs="仿宋"/>
              <w:bCs w:val="0"/>
              <w:sz w:val="28"/>
              <w:szCs w:val="28"/>
            </w:rPr>
            <w:t>般公共预算财政拨款支出决算明细表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_Toc24013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_Toc24799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八、</w:t>
          </w:r>
          <w:r>
            <w:rPr>
              <w:rFonts w:hint="eastAsia" w:ascii="仿宋" w:hAnsi="仿宋" w:eastAsia="仿宋" w:cs="仿宋"/>
              <w:sz w:val="28"/>
              <w:szCs w:val="28"/>
            </w:rPr>
            <w:t>一</w:t>
          </w:r>
          <w:r>
            <w:rPr>
              <w:rFonts w:hint="eastAsia" w:ascii="仿宋" w:hAnsi="仿宋" w:eastAsia="仿宋" w:cs="仿宋"/>
              <w:bCs w:val="0"/>
              <w:sz w:val="28"/>
              <w:szCs w:val="28"/>
            </w:rPr>
            <w:t>般公共预算财政拨款基本支出决算表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_Toc24799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_Toc852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九、</w:t>
          </w:r>
          <w:r>
            <w:rPr>
              <w:rFonts w:hint="eastAsia" w:ascii="仿宋" w:hAnsi="仿宋" w:eastAsia="仿宋" w:cs="仿宋"/>
              <w:sz w:val="28"/>
              <w:szCs w:val="28"/>
            </w:rPr>
            <w:t>一</w:t>
          </w:r>
          <w:r>
            <w:rPr>
              <w:rFonts w:hint="eastAsia" w:ascii="仿宋" w:hAnsi="仿宋" w:eastAsia="仿宋" w:cs="仿宋"/>
              <w:bCs w:val="0"/>
              <w:sz w:val="28"/>
              <w:szCs w:val="28"/>
            </w:rPr>
            <w:t>般公共预算财政拨款项目支出决算表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_Toc852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_Toc11300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十、</w:t>
          </w:r>
          <w:r>
            <w:rPr>
              <w:rFonts w:hint="eastAsia" w:ascii="仿宋" w:hAnsi="仿宋" w:eastAsia="仿宋" w:cs="仿宋"/>
              <w:sz w:val="28"/>
              <w:szCs w:val="28"/>
            </w:rPr>
            <w:t>政</w:t>
          </w:r>
          <w:r>
            <w:rPr>
              <w:rFonts w:hint="eastAsia" w:ascii="仿宋" w:hAnsi="仿宋" w:eastAsia="仿宋" w:cs="仿宋"/>
              <w:bCs w:val="0"/>
              <w:sz w:val="28"/>
              <w:szCs w:val="28"/>
            </w:rPr>
            <w:t>府性基金预算财政拨款收入支出决算表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_Toc11300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_Toc1945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十一、</w:t>
          </w:r>
          <w:r>
            <w:rPr>
              <w:rFonts w:hint="eastAsia" w:ascii="仿宋" w:hAnsi="仿宋" w:eastAsia="仿宋" w:cs="仿宋"/>
              <w:sz w:val="28"/>
              <w:szCs w:val="28"/>
            </w:rPr>
            <w:t>国</w:t>
          </w:r>
          <w:r>
            <w:rPr>
              <w:rFonts w:hint="eastAsia" w:ascii="仿宋" w:hAnsi="仿宋" w:eastAsia="仿宋" w:cs="仿宋"/>
              <w:bCs w:val="0"/>
              <w:sz w:val="28"/>
              <w:szCs w:val="28"/>
            </w:rPr>
            <w:t>有资本经营预算财政拨款收入支出决算表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_Toc1945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_Toc8255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十二、国有资本经营预算财政拨款支出决算表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_Toc8255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5"/>
            <w:tabs>
              <w:tab w:val="right" w:leader="dot" w:pos="8306"/>
            </w:tabs>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_Toc3883 </w:instrText>
          </w:r>
          <w:r>
            <w:rPr>
              <w:rFonts w:hint="eastAsia" w:ascii="仿宋" w:hAnsi="仿宋" w:eastAsia="仿宋" w:cs="仿宋"/>
              <w:sz w:val="28"/>
              <w:szCs w:val="28"/>
            </w:rPr>
            <w:fldChar w:fldCharType="separate"/>
          </w:r>
          <w:r>
            <w:rPr>
              <w:rFonts w:hint="eastAsia" w:ascii="仿宋" w:hAnsi="仿宋" w:eastAsia="仿宋" w:cs="仿宋"/>
              <w:bCs w:val="0"/>
              <w:sz w:val="28"/>
              <w:szCs w:val="28"/>
            </w:rPr>
            <w:t>十三、财政拨款“三公”经费支出决算表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_Toc3883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r>
            <w:rPr>
              <w:b/>
            </w:rPr>
            <w:fldChar w:fldCharType="end"/>
          </w:r>
        </w:p>
      </w:sdtContent>
    </w:sdt>
    <w:p>
      <w:pPr>
        <w:pStyle w:val="3"/>
        <w:jc w:val="center"/>
        <w:rPr>
          <w:rStyle w:val="28"/>
          <w:rFonts w:ascii="黑体" w:hAnsi="黑体" w:eastAsia="黑体"/>
          <w:b/>
          <w:bCs w:val="0"/>
        </w:rPr>
      </w:pPr>
      <w:bookmarkStart w:id="14" w:name="_Toc15377196"/>
      <w:bookmarkStart w:id="15" w:name="_Toc19902"/>
      <w:bookmarkStart w:id="16" w:name="_Toc15396599"/>
      <w:r>
        <w:rPr>
          <w:rFonts w:hint="eastAsia" w:ascii="黑体" w:hAnsi="黑体" w:eastAsia="黑体"/>
          <w:b w:val="0"/>
        </w:rPr>
        <w:t>第一部分 单位</w:t>
      </w:r>
      <w:r>
        <w:rPr>
          <w:rStyle w:val="28"/>
          <w:rFonts w:hint="eastAsia" w:ascii="黑体" w:hAnsi="黑体" w:eastAsia="黑体"/>
          <w:b w:val="0"/>
          <w:bCs w:val="0"/>
        </w:rPr>
        <w:t>概况</w:t>
      </w:r>
      <w:bookmarkEnd w:id="14"/>
      <w:bookmarkEnd w:id="15"/>
      <w:bookmarkEnd w:id="16"/>
    </w:p>
    <w:p>
      <w:pPr>
        <w:widowControl/>
        <w:jc w:val="left"/>
        <w:rPr>
          <w:rFonts w:ascii="黑体" w:eastAsia="黑体"/>
          <w:sz w:val="32"/>
          <w:szCs w:val="32"/>
        </w:rPr>
      </w:pPr>
    </w:p>
    <w:p>
      <w:pPr>
        <w:pStyle w:val="4"/>
        <w:numPr>
          <w:ilvl w:val="0"/>
          <w:numId w:val="1"/>
        </w:numPr>
        <w:rPr>
          <w:rStyle w:val="29"/>
          <w:rFonts w:ascii="黑体" w:hAnsi="黑体" w:eastAsia="黑体"/>
          <w:b w:val="0"/>
          <w:bCs w:val="0"/>
        </w:rPr>
      </w:pPr>
      <w:bookmarkStart w:id="17" w:name="_Toc2371"/>
      <w:bookmarkStart w:id="18" w:name="_Toc15396600"/>
      <w:bookmarkStart w:id="19" w:name="_Toc15377197"/>
      <w:r>
        <w:rPr>
          <w:rStyle w:val="29"/>
          <w:rFonts w:hint="eastAsia" w:ascii="黑体" w:hAnsi="黑体" w:eastAsia="黑体"/>
          <w:b w:val="0"/>
          <w:bCs w:val="0"/>
          <w:lang w:eastAsia="zh-CN"/>
        </w:rPr>
        <w:t>部门</w:t>
      </w:r>
      <w:r>
        <w:rPr>
          <w:rStyle w:val="29"/>
          <w:rFonts w:hint="eastAsia" w:ascii="黑体" w:hAnsi="黑体" w:eastAsia="黑体"/>
          <w:b w:val="0"/>
          <w:bCs w:val="0"/>
        </w:rPr>
        <w:t>职责</w:t>
      </w:r>
      <w:bookmarkEnd w:id="17"/>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1、贯彻执行国家有关交通运输行业管理的方针、政策和法律法规。</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2、负责拟定全区运输业和物流业发展规划并组织实施。</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3、监督、指导乡镇交通管理站进行乡村道路及其设施的规</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划、建设、养护、维护公路路产路权和管理。</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4、负责全区道路交通运输市场监督管理。</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5、负责交通建设市场监管。</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6、承担全区水上交通安全监管职责。</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7、配合有关部门执行交通行业的投资、价格、劳动工资和其他有关经济政策。</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8、负责全区公路、水路的交通建设市场管理；执行交通建设工程定额，组织工程质量监督。</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9、监督、指导全区经营性道路运输源头安全、公路工程建设及养护安全和交通企事业单位内部安全。</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10、指导交通行业的精神文明建设、党风廉政建设和职工队伍建设。</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11、贯彻执行国家、省有关交通科技政策。</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12、负责全区交通战备、通信线路保护的有关协调工作。</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13、承担区政府公布的在关行政审批事项。</w:t>
      </w:r>
    </w:p>
    <w:p>
      <w:pPr>
        <w:pStyle w:val="2"/>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20" w:name="_Toc16171"/>
      <w:bookmarkStart w:id="21" w:name="_Toc21579"/>
      <w:r>
        <w:rPr>
          <w:rFonts w:hint="eastAsia" w:ascii="仿宋_GB2312" w:hAnsi="仿宋" w:eastAsia="仿宋_GB2312"/>
          <w:sz w:val="32"/>
          <w:szCs w:val="32"/>
        </w:rPr>
        <w:t>14、承办区委、区政府交办的其它工作。</w:t>
      </w:r>
      <w:bookmarkEnd w:id="20"/>
      <w:bookmarkEnd w:id="21"/>
    </w:p>
    <w:p/>
    <w:p>
      <w:pPr>
        <w:pStyle w:val="4"/>
        <w:rPr>
          <w:rFonts w:ascii="黑体" w:hAnsi="黑体" w:eastAsia="黑体"/>
          <w:b w:val="0"/>
        </w:rPr>
      </w:pPr>
      <w:bookmarkStart w:id="22" w:name="_Toc20422"/>
      <w:r>
        <w:rPr>
          <w:rFonts w:hint="eastAsia" w:ascii="黑体" w:hAnsi="黑体" w:eastAsia="黑体"/>
          <w:b w:val="0"/>
        </w:rPr>
        <w:t>二、机构设置</w:t>
      </w:r>
      <w:bookmarkEnd w:id="22"/>
    </w:p>
    <w:bookmarkEnd w:id="18"/>
    <w:bookmarkEnd w:id="19"/>
    <w:p>
      <w:pPr>
        <w:snapToGrid w:val="0"/>
        <w:spacing w:line="520" w:lineRule="exact"/>
        <w:ind w:firstLine="640" w:firstLineChars="200"/>
        <w:rPr>
          <w:rFonts w:hint="eastAsia" w:ascii="仿宋_GB2312" w:hAnsi="仿宋" w:eastAsia="仿宋_GB2312"/>
          <w:sz w:val="32"/>
          <w:szCs w:val="32"/>
        </w:rPr>
      </w:pPr>
      <w:bookmarkStart w:id="23" w:name="_Toc15378450"/>
      <w:bookmarkStart w:id="24" w:name="_Toc15377434"/>
      <w:bookmarkStart w:id="25" w:name="_Toc15306277"/>
      <w:bookmarkStart w:id="26" w:name="_Toc15377203"/>
      <w:r>
        <w:rPr>
          <w:rFonts w:hint="eastAsia" w:ascii="仿宋_GB2312" w:hAnsi="仿宋" w:eastAsia="仿宋_GB2312"/>
          <w:sz w:val="32"/>
          <w:szCs w:val="32"/>
        </w:rPr>
        <w:t>20</w:t>
      </w:r>
      <w:r>
        <w:rPr>
          <w:rFonts w:hint="eastAsia" w:ascii="仿宋_GB2312" w:hAnsi="仿宋" w:eastAsia="仿宋_GB2312"/>
          <w:sz w:val="32"/>
          <w:szCs w:val="32"/>
          <w:lang w:val="en-US" w:eastAsia="zh-CN"/>
        </w:rPr>
        <w:t>24</w:t>
      </w:r>
      <w:r>
        <w:rPr>
          <w:rFonts w:hint="eastAsia" w:ascii="仿宋_GB2312" w:hAnsi="仿宋" w:eastAsia="仿宋_GB2312"/>
          <w:sz w:val="32"/>
          <w:szCs w:val="32"/>
        </w:rPr>
        <w:t>年末</w:t>
      </w:r>
      <w:r>
        <w:rPr>
          <w:rFonts w:hint="eastAsia" w:ascii="仿宋_GB2312" w:hAnsi="仿宋_GB2312" w:eastAsia="仿宋_GB2312" w:cs="仿宋_GB2312"/>
          <w:color w:val="auto"/>
          <w:sz w:val="32"/>
          <w:szCs w:val="32"/>
          <w:highlight w:val="none"/>
        </w:rPr>
        <w:t>乐山市金口河区交通运输局（本级）</w:t>
      </w:r>
      <w:r>
        <w:rPr>
          <w:rFonts w:hint="eastAsia" w:ascii="仿宋_GB2312" w:hAnsi="仿宋" w:eastAsia="仿宋_GB2312"/>
          <w:sz w:val="32"/>
          <w:szCs w:val="32"/>
        </w:rPr>
        <w:t>下属二级预算单位</w:t>
      </w:r>
      <w:r>
        <w:rPr>
          <w:rFonts w:hint="eastAsia" w:ascii="仿宋_GB2312" w:hAnsi="仿宋" w:eastAsia="仿宋_GB2312"/>
          <w:sz w:val="32"/>
          <w:szCs w:val="32"/>
          <w:lang w:val="en-US" w:eastAsia="zh-CN"/>
        </w:rPr>
        <w:t>2</w:t>
      </w:r>
      <w:r>
        <w:rPr>
          <w:rFonts w:hint="eastAsia" w:ascii="仿宋_GB2312" w:hAnsi="仿宋" w:eastAsia="仿宋_GB2312"/>
          <w:sz w:val="32"/>
          <w:szCs w:val="32"/>
        </w:rPr>
        <w:t>个，参照公务员法管理的事业单位</w:t>
      </w:r>
      <w:r>
        <w:rPr>
          <w:rFonts w:hint="eastAsia" w:ascii="仿宋_GB2312" w:hAnsi="仿宋" w:eastAsia="仿宋_GB2312"/>
          <w:sz w:val="32"/>
          <w:szCs w:val="32"/>
          <w:lang w:val="en-US" w:eastAsia="zh-CN"/>
        </w:rPr>
        <w:t>1</w:t>
      </w:r>
      <w:r>
        <w:rPr>
          <w:rFonts w:hint="eastAsia" w:ascii="仿宋_GB2312" w:hAnsi="仿宋" w:eastAsia="仿宋_GB2312"/>
          <w:sz w:val="32"/>
          <w:szCs w:val="32"/>
        </w:rPr>
        <w:t>个，事业单位</w:t>
      </w:r>
      <w:r>
        <w:rPr>
          <w:rFonts w:hint="eastAsia" w:ascii="仿宋_GB2312" w:hAnsi="仿宋" w:eastAsia="仿宋_GB2312"/>
          <w:sz w:val="32"/>
          <w:szCs w:val="32"/>
          <w:lang w:val="en-US" w:eastAsia="zh-CN"/>
        </w:rPr>
        <w:t>1</w:t>
      </w:r>
      <w:r>
        <w:rPr>
          <w:rFonts w:hint="eastAsia" w:ascii="仿宋_GB2312" w:hAnsi="仿宋" w:eastAsia="仿宋_GB2312"/>
          <w:sz w:val="32"/>
          <w:szCs w:val="32"/>
        </w:rPr>
        <w:t>个。</w:t>
      </w:r>
      <w:bookmarkEnd w:id="23"/>
      <w:bookmarkEnd w:id="24"/>
      <w:bookmarkEnd w:id="25"/>
      <w:bookmarkEnd w:id="26"/>
    </w:p>
    <w:p>
      <w:pPr>
        <w:widowControl/>
        <w:ind w:firstLine="880" w:firstLineChars="200"/>
        <w:jc w:val="left"/>
        <w:rPr>
          <w:rStyle w:val="28"/>
          <w:rFonts w:hint="eastAsia" w:ascii="黑体" w:hAnsi="黑体" w:eastAsia="黑体" w:cstheme="minorBidi"/>
          <w:b w:val="0"/>
          <w:bCs/>
        </w:rPr>
      </w:pPr>
      <w:bookmarkStart w:id="27" w:name="_Toc27450"/>
      <w:bookmarkStart w:id="28" w:name="_Toc15396602"/>
      <w:bookmarkStart w:id="29" w:name="_Toc15377204"/>
    </w:p>
    <w:p>
      <w:pPr>
        <w:widowControl/>
        <w:ind w:firstLine="880" w:firstLineChars="200"/>
        <w:jc w:val="left"/>
        <w:rPr>
          <w:rStyle w:val="28"/>
          <w:rFonts w:hint="eastAsia" w:ascii="黑体" w:hAnsi="黑体" w:eastAsia="黑体" w:cstheme="minorBidi"/>
          <w:b w:val="0"/>
          <w:bCs/>
        </w:rPr>
      </w:pPr>
      <w:r>
        <w:rPr>
          <w:rStyle w:val="28"/>
          <w:rFonts w:hint="eastAsia" w:ascii="黑体" w:hAnsi="黑体" w:eastAsia="黑体" w:cstheme="minorBidi"/>
          <w:b w:val="0"/>
          <w:bCs/>
        </w:rPr>
        <w:t>第二部分 202</w:t>
      </w:r>
      <w:r>
        <w:rPr>
          <w:rStyle w:val="28"/>
          <w:rFonts w:hint="eastAsia" w:ascii="黑体" w:hAnsi="黑体" w:eastAsia="黑体" w:cstheme="minorBidi"/>
          <w:b w:val="0"/>
          <w:bCs/>
          <w:lang w:val="en-US" w:eastAsia="zh-CN"/>
        </w:rPr>
        <w:t>4</w:t>
      </w:r>
      <w:r>
        <w:rPr>
          <w:rStyle w:val="28"/>
          <w:rFonts w:hint="eastAsia" w:ascii="黑体" w:hAnsi="黑体" w:eastAsia="黑体" w:cstheme="minorBidi"/>
          <w:b w:val="0"/>
          <w:bCs/>
        </w:rPr>
        <w:t>年度单位决算情况说明</w:t>
      </w:r>
      <w:bookmarkEnd w:id="27"/>
      <w:bookmarkEnd w:id="28"/>
      <w:bookmarkEnd w:id="29"/>
    </w:p>
    <w:p/>
    <w:p>
      <w:pPr>
        <w:pStyle w:val="27"/>
        <w:numPr>
          <w:ilvl w:val="0"/>
          <w:numId w:val="2"/>
        </w:numPr>
        <w:spacing w:line="600" w:lineRule="exact"/>
        <w:ind w:firstLineChars="0"/>
        <w:outlineLvl w:val="1"/>
        <w:rPr>
          <w:rStyle w:val="29"/>
          <w:rFonts w:ascii="黑体" w:hAnsi="黑体" w:eastAsia="黑体"/>
          <w:b w:val="0"/>
        </w:rPr>
      </w:pPr>
      <w:bookmarkStart w:id="30" w:name="_Toc15377205"/>
      <w:bookmarkStart w:id="31" w:name="_Toc32084"/>
      <w:bookmarkStart w:id="32"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30"/>
      <w:bookmarkEnd w:id="31"/>
      <w:bookmarkEnd w:id="32"/>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年度收、支总计均为</w:t>
      </w:r>
      <w:r>
        <w:rPr>
          <w:rFonts w:hint="eastAsia" w:ascii="仿宋_GB2312" w:hAnsi="仿宋_GB2312" w:eastAsia="仿宋_GB2312" w:cs="仿宋_GB2312"/>
          <w:sz w:val="32"/>
          <w:szCs w:val="32"/>
        </w:rPr>
        <w:t>1590.34</w:t>
      </w:r>
      <w:r>
        <w:rPr>
          <w:rFonts w:hint="eastAsia" w:ascii="仿宋" w:hAnsi="仿宋" w:eastAsia="仿宋"/>
          <w:sz w:val="32"/>
          <w:szCs w:val="32"/>
        </w:rPr>
        <w:t>万元。与202</w:t>
      </w:r>
      <w:r>
        <w:rPr>
          <w:rFonts w:hint="eastAsia" w:ascii="仿宋" w:hAnsi="仿宋" w:eastAsia="仿宋"/>
          <w:sz w:val="32"/>
          <w:szCs w:val="32"/>
          <w:lang w:val="en-US" w:eastAsia="zh-CN"/>
        </w:rPr>
        <w:t>3</w:t>
      </w:r>
      <w:r>
        <w:rPr>
          <w:rFonts w:hint="eastAsia" w:ascii="仿宋" w:hAnsi="仿宋" w:eastAsia="仿宋"/>
          <w:sz w:val="32"/>
          <w:szCs w:val="32"/>
        </w:rPr>
        <w:t>年度相比，收、支总计减少</w:t>
      </w:r>
      <w:r>
        <w:rPr>
          <w:rFonts w:hint="eastAsia" w:ascii="仿宋" w:hAnsi="仿宋" w:eastAsia="仿宋"/>
          <w:sz w:val="32"/>
          <w:szCs w:val="32"/>
          <w:lang w:val="en-US" w:eastAsia="zh-CN"/>
        </w:rPr>
        <w:t>25.4</w:t>
      </w:r>
      <w:r>
        <w:rPr>
          <w:rFonts w:hint="eastAsia" w:ascii="仿宋" w:hAnsi="仿宋" w:eastAsia="仿宋"/>
          <w:sz w:val="32"/>
          <w:szCs w:val="32"/>
        </w:rPr>
        <w:t>万元，下降</w:t>
      </w:r>
      <w:r>
        <w:rPr>
          <w:rFonts w:hint="eastAsia" w:ascii="仿宋" w:hAnsi="仿宋" w:eastAsia="仿宋"/>
          <w:sz w:val="32"/>
          <w:szCs w:val="32"/>
          <w:lang w:val="en-US" w:eastAsia="zh-CN"/>
        </w:rPr>
        <w:t>1.5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项目支出减少</w:t>
      </w:r>
      <w:r>
        <w:rPr>
          <w:rFonts w:hint="eastAsia" w:ascii="仿宋" w:hAnsi="仿宋" w:eastAsia="仿宋"/>
          <w:sz w:val="32"/>
          <w:szCs w:val="32"/>
        </w:rPr>
        <w:t>。</w:t>
      </w:r>
    </w:p>
    <w:p>
      <w:pPr>
        <w:pStyle w:val="2"/>
      </w:pPr>
      <w:r>
        <w:drawing>
          <wp:inline distT="0" distB="0" distL="114300" distR="114300">
            <wp:extent cx="4826000" cy="2743200"/>
            <wp:effectExtent l="4445" t="4445" r="82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640" w:firstLineChars="200"/>
        <w:jc w:val="left"/>
        <w:rPr>
          <w:rFonts w:ascii="仿宋_GB2312" w:eastAsia="仿宋_GB2312"/>
          <w:sz w:val="32"/>
          <w:szCs w:val="32"/>
        </w:rPr>
      </w:pPr>
    </w:p>
    <w:p>
      <w:pPr>
        <w:pStyle w:val="27"/>
        <w:numPr>
          <w:ilvl w:val="0"/>
          <w:numId w:val="2"/>
        </w:numPr>
        <w:spacing w:line="600" w:lineRule="exact"/>
        <w:ind w:firstLineChars="0"/>
        <w:outlineLvl w:val="1"/>
        <w:rPr>
          <w:rStyle w:val="29"/>
          <w:rFonts w:ascii="黑体" w:hAnsi="黑体" w:eastAsia="黑体"/>
          <w:b w:val="0"/>
        </w:rPr>
      </w:pPr>
      <w:bookmarkStart w:id="33" w:name="_Toc17745"/>
      <w:bookmarkStart w:id="34" w:name="_Toc15396604"/>
      <w:bookmarkStart w:id="35" w:name="_Toc15377206"/>
      <w:r>
        <w:rPr>
          <w:rFonts w:hint="eastAsia" w:ascii="黑体" w:hAnsi="黑体" w:eastAsia="黑体"/>
          <w:sz w:val="32"/>
          <w:szCs w:val="32"/>
        </w:rPr>
        <w:t>收</w:t>
      </w:r>
      <w:r>
        <w:rPr>
          <w:rStyle w:val="29"/>
          <w:rFonts w:hint="eastAsia" w:ascii="黑体" w:hAnsi="黑体" w:eastAsia="黑体"/>
          <w:b w:val="0"/>
        </w:rPr>
        <w:t>入决算情况说明</w:t>
      </w:r>
      <w:bookmarkEnd w:id="33"/>
      <w:bookmarkEnd w:id="34"/>
      <w:bookmarkEnd w:id="35"/>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b/>
          <w:bCs/>
          <w:color w:val="auto"/>
          <w:sz w:val="32"/>
          <w:szCs w:val="32"/>
          <w:highlight w:val="none"/>
          <w:lang w:eastAsia="zh-CN"/>
        </w:rPr>
      </w:pPr>
      <w:bookmarkStart w:id="36" w:name="_Toc13343"/>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1590.15万元，其中：一般公共预算财政拨款收入1590.11</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99.99</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0.05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仿宋_GB2312"/>
          <w:b/>
          <w:bCs/>
          <w:color w:val="auto"/>
          <w:sz w:val="32"/>
          <w:szCs w:val="32"/>
          <w:highlight w:val="none"/>
          <w:lang w:eastAsia="zh-CN"/>
        </w:rPr>
        <w:t>（注：仅罗列本部门涉及的收入）</w:t>
      </w:r>
    </w:p>
    <w:p>
      <w:pPr>
        <w:spacing w:line="600" w:lineRule="exact"/>
        <w:ind w:firstLine="643" w:firstLineChars="200"/>
        <w:outlineLvl w:val="1"/>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01表</w:t>
      </w:r>
      <w:r>
        <w:rPr>
          <w:rFonts w:hint="eastAsia" w:ascii="仿宋" w:hAnsi="仿宋" w:eastAsia="仿宋"/>
          <w:b/>
          <w:sz w:val="32"/>
          <w:szCs w:val="32"/>
        </w:rPr>
        <w:t>，仅罗列本单位涉及的收入。</w:t>
      </w:r>
      <w:r>
        <w:rPr>
          <w:rFonts w:ascii="仿宋" w:hAnsi="仿宋" w:eastAsia="仿宋"/>
          <w:b/>
          <w:sz w:val="32"/>
          <w:szCs w:val="32"/>
        </w:rPr>
        <w:t>）</w:t>
      </w:r>
      <w:bookmarkEnd w:id="36"/>
    </w:p>
    <w:p>
      <w:pPr>
        <w:spacing w:line="600" w:lineRule="exact"/>
        <w:ind w:firstLine="420" w:firstLineChars="200"/>
        <w:outlineLvl w:val="9"/>
        <w:rPr>
          <w:rFonts w:ascii="仿宋_GB2312" w:eastAsia="仿宋_GB2312"/>
          <w:sz w:val="32"/>
          <w:szCs w:val="32"/>
        </w:rPr>
      </w:pPr>
      <w:r>
        <w:drawing>
          <wp:anchor distT="0" distB="0" distL="114300" distR="114300" simplePos="0" relativeHeight="251659264" behindDoc="0" locked="0" layoutInCell="1" allowOverlap="1">
            <wp:simplePos x="0" y="0"/>
            <wp:positionH relativeFrom="column">
              <wp:posOffset>223520</wp:posOffset>
            </wp:positionH>
            <wp:positionV relativeFrom="paragraph">
              <wp:posOffset>252095</wp:posOffset>
            </wp:positionV>
            <wp:extent cx="4572000" cy="3187700"/>
            <wp:effectExtent l="4445" t="4445" r="14605" b="8255"/>
            <wp:wrapTopAndBottom/>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仿宋" w:hAnsi="仿宋" w:eastAsia="仿宋"/>
          <w:sz w:val="32"/>
          <w:szCs w:val="32"/>
        </w:rPr>
        <w:t>（图2：收入决算结构图）（饼状图）</w:t>
      </w:r>
    </w:p>
    <w:p>
      <w:pPr>
        <w:pStyle w:val="27"/>
        <w:numPr>
          <w:ilvl w:val="0"/>
          <w:numId w:val="2"/>
        </w:numPr>
        <w:spacing w:line="600" w:lineRule="exact"/>
        <w:ind w:firstLineChars="0"/>
        <w:outlineLvl w:val="1"/>
        <w:rPr>
          <w:rStyle w:val="29"/>
          <w:rFonts w:ascii="黑体" w:hAnsi="黑体" w:eastAsia="黑体"/>
          <w:b w:val="0"/>
        </w:rPr>
      </w:pPr>
      <w:bookmarkStart w:id="37" w:name="_Toc374"/>
      <w:bookmarkStart w:id="38" w:name="_Toc15396605"/>
      <w:bookmarkStart w:id="39" w:name="_Toc15377207"/>
      <w:r>
        <w:rPr>
          <w:rFonts w:hint="eastAsia" w:ascii="黑体" w:hAnsi="黑体" w:eastAsia="黑体"/>
          <w:sz w:val="32"/>
          <w:szCs w:val="32"/>
        </w:rPr>
        <w:t>支</w:t>
      </w:r>
      <w:r>
        <w:rPr>
          <w:rStyle w:val="29"/>
          <w:rFonts w:hint="eastAsia" w:ascii="黑体" w:hAnsi="黑体" w:eastAsia="黑体"/>
          <w:b w:val="0"/>
        </w:rPr>
        <w:t>出决算情况说明</w:t>
      </w:r>
      <w:bookmarkEnd w:id="37"/>
      <w:bookmarkEnd w:id="38"/>
      <w:bookmarkEnd w:id="39"/>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1590.11</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312.39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19.64</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1277.72</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80.35</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仿宋_GB2312"/>
          <w:b/>
          <w:bCs/>
          <w:color w:val="auto"/>
          <w:sz w:val="32"/>
          <w:szCs w:val="32"/>
          <w:highlight w:val="none"/>
          <w:lang w:eastAsia="zh-CN"/>
        </w:rPr>
        <w:t>（注：仅罗列本部门涉及的支出）</w:t>
      </w:r>
    </w:p>
    <w:p>
      <w:pPr>
        <w:pStyle w:val="2"/>
        <w:rPr>
          <w:rFonts w:ascii="仿宋" w:hAnsi="仿宋" w:eastAsia="仿宋"/>
          <w:sz w:val="32"/>
          <w:szCs w:val="32"/>
          <w:shd w:val="pct10" w:color="auto" w:fill="FFFFFF"/>
        </w:rPr>
      </w:pPr>
      <w:r>
        <w:drawing>
          <wp:inline distT="0" distB="0" distL="114300" distR="114300">
            <wp:extent cx="4826000" cy="2743200"/>
            <wp:effectExtent l="4445" t="4445" r="8255" b="14605"/>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rPr>
          <w:rFonts w:ascii="仿宋" w:hAnsi="仿宋" w:eastAsia="仿宋"/>
          <w:sz w:val="32"/>
          <w:szCs w:val="32"/>
          <w:shd w:val="pct10" w:color="auto" w:fill="FFFFFF"/>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40" w:name="_Toc15396606"/>
      <w:bookmarkStart w:id="41" w:name="_Toc12493"/>
      <w:bookmarkStart w:id="42"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40"/>
      <w:bookmarkEnd w:id="41"/>
      <w:bookmarkEnd w:id="42"/>
    </w:p>
    <w:p>
      <w:pPr>
        <w:spacing w:line="600" w:lineRule="exact"/>
        <w:ind w:firstLine="640"/>
        <w:rPr>
          <w:rFonts w:hint="eastAsia" w:ascii="仿宋" w:hAnsi="仿宋" w:eastAsia="仿宋"/>
          <w:sz w:val="32"/>
          <w:szCs w:val="32"/>
          <w:lang w:eastAsia="zh-CN"/>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年度财政拨款收、支总计均为</w:t>
      </w:r>
      <w:r>
        <w:rPr>
          <w:rFonts w:hint="eastAsia" w:ascii="仿宋_GB2312" w:hAnsi="仿宋_GB2312" w:eastAsia="仿宋_GB2312" w:cs="仿宋_GB2312"/>
          <w:sz w:val="32"/>
          <w:szCs w:val="32"/>
        </w:rPr>
        <w:t>1590.1</w:t>
      </w:r>
      <w:r>
        <w:rPr>
          <w:rFonts w:hint="eastAsia" w:ascii="仿宋" w:hAnsi="仿宋" w:eastAsia="仿宋"/>
          <w:sz w:val="32"/>
          <w:szCs w:val="32"/>
        </w:rPr>
        <w:t>万元。与202</w:t>
      </w:r>
      <w:r>
        <w:rPr>
          <w:rFonts w:hint="eastAsia" w:ascii="仿宋" w:hAnsi="仿宋" w:eastAsia="仿宋"/>
          <w:sz w:val="32"/>
          <w:szCs w:val="32"/>
          <w:lang w:val="en-US" w:eastAsia="zh-CN"/>
        </w:rPr>
        <w:t>3</w:t>
      </w:r>
      <w:r>
        <w:rPr>
          <w:rFonts w:hint="eastAsia" w:ascii="仿宋" w:hAnsi="仿宋" w:eastAsia="仿宋"/>
          <w:sz w:val="32"/>
          <w:szCs w:val="32"/>
        </w:rPr>
        <w:t>年度相比，财政拨款收、支总计各减少</w:t>
      </w:r>
      <w:r>
        <w:rPr>
          <w:rFonts w:hint="eastAsia" w:ascii="仿宋" w:hAnsi="仿宋" w:eastAsia="仿宋"/>
          <w:sz w:val="32"/>
          <w:szCs w:val="32"/>
          <w:lang w:val="en-US" w:eastAsia="zh-CN"/>
        </w:rPr>
        <w:t>25.44</w:t>
      </w:r>
      <w:r>
        <w:rPr>
          <w:rFonts w:hint="eastAsia" w:ascii="仿宋" w:hAnsi="仿宋" w:eastAsia="仿宋"/>
          <w:sz w:val="32"/>
          <w:szCs w:val="32"/>
        </w:rPr>
        <w:t>万元，下降</w:t>
      </w:r>
      <w:r>
        <w:rPr>
          <w:rFonts w:hint="eastAsia" w:ascii="仿宋" w:hAnsi="仿宋" w:eastAsia="仿宋"/>
          <w:sz w:val="32"/>
          <w:szCs w:val="32"/>
          <w:lang w:val="en-US" w:eastAsia="zh-CN"/>
        </w:rPr>
        <w:t>1.5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ab/>
      </w:r>
      <w:r>
        <w:rPr>
          <w:rFonts w:hint="eastAsia" w:ascii="仿宋" w:hAnsi="仿宋" w:eastAsia="仿宋"/>
          <w:sz w:val="32"/>
          <w:szCs w:val="32"/>
          <w:lang w:val="en-US" w:eastAsia="zh-CN"/>
        </w:rPr>
        <w:t>项目支出减少。</w:t>
      </w:r>
    </w:p>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01-1</w:t>
      </w:r>
      <w:r>
        <w:rPr>
          <w:rFonts w:hint="eastAsia" w:ascii="仿宋" w:hAnsi="仿宋" w:eastAsia="仿宋"/>
          <w:b/>
          <w:sz w:val="32"/>
          <w:szCs w:val="32"/>
        </w:rPr>
        <w:t>表</w:t>
      </w:r>
      <w:r>
        <w:rPr>
          <w:rFonts w:ascii="仿宋" w:hAnsi="仿宋" w:eastAsia="仿宋"/>
          <w:b/>
          <w:sz w:val="32"/>
          <w:szCs w:val="32"/>
        </w:rPr>
        <w:t>）</w:t>
      </w:r>
    </w:p>
    <w:p>
      <w:pPr>
        <w:pStyle w:val="2"/>
        <w:rPr>
          <w:rFonts w:ascii="仿宋" w:hAnsi="仿宋" w:eastAsia="仿宋"/>
          <w:sz w:val="32"/>
          <w:szCs w:val="32"/>
        </w:rPr>
      </w:pPr>
      <w:r>
        <w:drawing>
          <wp:inline distT="0" distB="0" distL="114300" distR="114300">
            <wp:extent cx="4826000" cy="2743200"/>
            <wp:effectExtent l="4445" t="4445" r="825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rPr>
          <w:rFonts w:ascii="仿宋" w:hAnsi="仿宋" w:eastAsia="仿宋"/>
          <w:b/>
          <w:sz w:val="32"/>
          <w:szCs w:val="32"/>
        </w:rPr>
      </w:pPr>
    </w:p>
    <w:p>
      <w:pPr>
        <w:spacing w:line="600" w:lineRule="exact"/>
        <w:ind w:firstLine="640" w:firstLineChars="200"/>
        <w:outlineLvl w:val="1"/>
        <w:rPr>
          <w:rStyle w:val="29"/>
          <w:rFonts w:ascii="黑体" w:hAnsi="黑体" w:eastAsia="黑体"/>
          <w:b w:val="0"/>
        </w:rPr>
      </w:pPr>
      <w:bookmarkStart w:id="43" w:name="_Toc15377209"/>
      <w:bookmarkStart w:id="44" w:name="_Toc15396607"/>
      <w:bookmarkStart w:id="45" w:name="_Toc13234"/>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43"/>
      <w:bookmarkEnd w:id="44"/>
      <w:bookmarkEnd w:id="45"/>
    </w:p>
    <w:p>
      <w:pPr>
        <w:spacing w:line="600" w:lineRule="exact"/>
        <w:ind w:firstLine="643" w:firstLineChars="200"/>
        <w:outlineLvl w:val="2"/>
        <w:rPr>
          <w:rFonts w:ascii="仿宋" w:hAnsi="仿宋" w:eastAsia="仿宋"/>
          <w:b/>
          <w:sz w:val="32"/>
          <w:szCs w:val="32"/>
        </w:rPr>
      </w:pPr>
      <w:bookmarkStart w:id="46" w:name="_Toc15377210"/>
      <w:r>
        <w:rPr>
          <w:rFonts w:hint="eastAsia" w:ascii="仿宋" w:hAnsi="仿宋" w:eastAsia="仿宋"/>
          <w:b/>
          <w:sz w:val="32"/>
          <w:szCs w:val="32"/>
        </w:rPr>
        <w:t>（一）一般公共预算财政拨款支出决算总体情况</w:t>
      </w:r>
      <w:bookmarkEnd w:id="46"/>
    </w:p>
    <w:p>
      <w:pPr>
        <w:spacing w:line="600" w:lineRule="exac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_GB2312" w:hAnsi="仿宋_GB2312" w:eastAsia="仿宋_GB2312" w:cs="仿宋_GB2312"/>
          <w:sz w:val="32"/>
          <w:szCs w:val="32"/>
        </w:rPr>
        <w:t>1590.11</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w:t>
      </w:r>
      <w:r>
        <w:rPr>
          <w:rFonts w:hint="eastAsia" w:ascii="仿宋" w:hAnsi="仿宋" w:eastAsia="仿宋"/>
          <w:sz w:val="32"/>
          <w:szCs w:val="32"/>
          <w:lang w:val="en-US" w:eastAsia="zh-CN"/>
        </w:rPr>
        <w:t>3</w:t>
      </w:r>
      <w:r>
        <w:rPr>
          <w:rFonts w:hint="eastAsia" w:ascii="仿宋" w:hAnsi="仿宋" w:eastAsia="仿宋"/>
          <w:sz w:val="32"/>
          <w:szCs w:val="32"/>
        </w:rPr>
        <w:t>年度相比，一般公共预算财政拨款支出减少</w:t>
      </w:r>
      <w:r>
        <w:rPr>
          <w:rFonts w:hint="eastAsia" w:ascii="仿宋" w:hAnsi="仿宋" w:eastAsia="仿宋"/>
          <w:sz w:val="32"/>
          <w:szCs w:val="32"/>
          <w:lang w:val="en-US" w:eastAsia="zh-CN"/>
        </w:rPr>
        <w:t>25.44</w:t>
      </w:r>
      <w:r>
        <w:rPr>
          <w:rFonts w:hint="eastAsia" w:ascii="仿宋" w:hAnsi="仿宋" w:eastAsia="仿宋"/>
          <w:sz w:val="32"/>
          <w:szCs w:val="32"/>
        </w:rPr>
        <w:t>万元，下降</w:t>
      </w:r>
      <w:r>
        <w:rPr>
          <w:rFonts w:hint="eastAsia" w:ascii="仿宋" w:hAnsi="仿宋" w:eastAsia="仿宋"/>
          <w:sz w:val="32"/>
          <w:szCs w:val="32"/>
          <w:lang w:val="en-US" w:eastAsia="zh-CN"/>
        </w:rPr>
        <w:t>1.5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项目支出减少。</w:t>
      </w:r>
    </w:p>
    <w:p>
      <w:pPr>
        <w:pStyle w:val="2"/>
        <w:rPr>
          <w:rFonts w:ascii="仿宋" w:hAnsi="仿宋" w:eastAsia="仿宋"/>
          <w:sz w:val="32"/>
          <w:szCs w:val="32"/>
        </w:rPr>
      </w:pPr>
      <w:r>
        <w:drawing>
          <wp:inline distT="0" distB="0" distL="114300" distR="114300">
            <wp:extent cx="4826000" cy="2743200"/>
            <wp:effectExtent l="4445" t="4445" r="8255" b="14605"/>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7" w:name="_Toc15377211"/>
      <w:r>
        <w:rPr>
          <w:rFonts w:hint="eastAsia" w:ascii="仿宋" w:hAnsi="仿宋" w:eastAsia="仿宋"/>
          <w:b/>
          <w:sz w:val="32"/>
          <w:szCs w:val="32"/>
        </w:rPr>
        <w:t>（二）一般公共预算财政拨款支出决算结构情况</w:t>
      </w:r>
      <w:bookmarkEnd w:id="47"/>
    </w:p>
    <w:p>
      <w:pPr>
        <w:spacing w:line="600" w:lineRule="exact"/>
        <w:ind w:firstLine="640"/>
        <w:rPr>
          <w:rFonts w:ascii="仿宋" w:hAnsi="仿宋" w:eastAsia="仿宋"/>
          <w:b/>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_GB2312" w:hAnsi="仿宋_GB2312" w:eastAsia="仿宋_GB2312" w:cs="仿宋_GB2312"/>
          <w:sz w:val="32"/>
          <w:szCs w:val="32"/>
        </w:rPr>
        <w:t>1590.11</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支出41.21万元，占</w:t>
      </w:r>
      <w:r>
        <w:rPr>
          <w:rFonts w:hint="eastAsia" w:ascii="仿宋" w:hAnsi="仿宋" w:eastAsia="仿宋"/>
          <w:color w:val="000000"/>
          <w:sz w:val="32"/>
          <w:szCs w:val="32"/>
          <w:lang w:val="en-US" w:eastAsia="zh-CN"/>
        </w:rPr>
        <w:t>2.59</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7.78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0.48</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农林水支出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315.9</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占</w:t>
      </w:r>
      <w:r>
        <w:rPr>
          <w:rFonts w:hint="eastAsia" w:ascii="仿宋" w:hAnsi="仿宋" w:eastAsia="仿宋"/>
          <w:color w:val="000000"/>
          <w:sz w:val="32"/>
          <w:szCs w:val="32"/>
          <w:lang w:val="en-US" w:eastAsia="zh-CN"/>
        </w:rPr>
        <w:t>19.86</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交通运输支出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1207</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占</w:t>
      </w:r>
      <w:r>
        <w:rPr>
          <w:rFonts w:hint="eastAsia" w:ascii="仿宋" w:hAnsi="仿宋" w:eastAsia="仿宋"/>
          <w:color w:val="000000"/>
          <w:sz w:val="32"/>
          <w:szCs w:val="32"/>
          <w:lang w:val="en-US" w:eastAsia="zh-CN"/>
        </w:rPr>
        <w:t>75.9</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住房保障支出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18.21</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1.14</w:t>
      </w:r>
      <w:r>
        <w:rPr>
          <w:rFonts w:ascii="仿宋" w:hAnsi="仿宋" w:eastAsia="仿宋"/>
          <w:color w:val="000000"/>
          <w:sz w:val="32"/>
          <w:szCs w:val="32"/>
        </w:rPr>
        <w:t>%</w:t>
      </w:r>
      <w:r>
        <w:rPr>
          <w:rFonts w:hint="eastAsia" w:ascii="仿宋" w:hAnsi="仿宋" w:eastAsia="仿宋"/>
          <w:sz w:val="32"/>
          <w:szCs w:val="32"/>
        </w:rPr>
        <w:t>。</w:t>
      </w:r>
    </w:p>
    <w:p>
      <w:pPr>
        <w:spacing w:line="600" w:lineRule="exact"/>
        <w:ind w:firstLine="640"/>
        <w:rPr>
          <w:rFonts w:hint="eastAsia" w:ascii="仿宋" w:hAnsi="仿宋" w:eastAsia="仿宋"/>
          <w:b/>
          <w:sz w:val="32"/>
          <w:szCs w:val="32"/>
        </w:rPr>
      </w:pPr>
      <w:r>
        <w:rPr>
          <w:rFonts w:hint="eastAsia" w:ascii="仿宋" w:hAnsi="仿宋" w:eastAsia="仿宋"/>
          <w:b/>
          <w:sz w:val="32"/>
          <w:szCs w:val="32"/>
        </w:rPr>
        <w:t>（注：数据来源于财决01-1表，仅罗列本单位涉及的全部功能分类科目，至类级。）</w:t>
      </w:r>
    </w:p>
    <w:p>
      <w:pPr>
        <w:pStyle w:val="2"/>
        <w:rPr>
          <w:rFonts w:hint="eastAsia" w:ascii="仿宋" w:hAnsi="仿宋" w:eastAsia="仿宋"/>
          <w:b/>
          <w:sz w:val="32"/>
          <w:szCs w:val="32"/>
        </w:rPr>
      </w:pPr>
      <w:r>
        <w:drawing>
          <wp:inline distT="0" distB="0" distL="114300" distR="114300">
            <wp:extent cx="4826000" cy="2743200"/>
            <wp:effectExtent l="4445" t="4445" r="8255" b="14605"/>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rPr>
          <w:rFonts w:hint="eastAsia" w:ascii="仿宋" w:hAnsi="仿宋" w:eastAsia="仿宋"/>
          <w:b/>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48" w:name="_Toc15377212"/>
      <w:r>
        <w:rPr>
          <w:rFonts w:hint="eastAsia" w:ascii="仿宋" w:hAnsi="仿宋" w:eastAsia="仿宋"/>
          <w:b/>
          <w:sz w:val="32"/>
          <w:szCs w:val="32"/>
        </w:rPr>
        <w:t>（三）一般公共预算财政拨款支出决算具体情况</w:t>
      </w:r>
      <w:bookmarkEnd w:id="48"/>
    </w:p>
    <w:p>
      <w:pPr>
        <w:spacing w:line="600" w:lineRule="exact"/>
        <w:ind w:firstLine="643" w:firstLineChars="200"/>
        <w:outlineLvl w:val="2"/>
        <w:rPr>
          <w:rFonts w:ascii="仿宋" w:hAnsi="仿宋" w:eastAsia="仿宋"/>
          <w:sz w:val="32"/>
          <w:szCs w:val="32"/>
        </w:rPr>
      </w:pPr>
      <w:bookmarkStart w:id="49" w:name="_Toc15377213"/>
      <w:bookmarkStart w:id="50" w:name="_Toc15378460"/>
      <w:bookmarkStart w:id="51" w:name="_Toc15377444"/>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年度一般公共预算支出决算数为</w:t>
      </w:r>
      <w:r>
        <w:rPr>
          <w:rFonts w:hint="eastAsia" w:ascii="仿宋_GB2312" w:hAnsi="仿宋_GB2312" w:eastAsia="仿宋_GB2312" w:cs="仿宋_GB2312"/>
          <w:sz w:val="32"/>
          <w:szCs w:val="32"/>
        </w:rPr>
        <w:t>1590.11</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49"/>
      <w:bookmarkEnd w:id="50"/>
      <w:bookmarkEnd w:id="51"/>
    </w:p>
    <w:p>
      <w:pPr>
        <w:spacing w:line="600" w:lineRule="exact"/>
        <w:ind w:firstLine="640" w:firstLineChars="200"/>
        <w:rPr>
          <w:rStyle w:val="17"/>
          <w:rFonts w:hint="eastAsia" w:ascii="仿宋" w:hAnsi="仿宋" w:eastAsia="仿宋"/>
          <w:b w:val="0"/>
          <w:bCs w:val="0"/>
          <w:color w:val="auto"/>
          <w:sz w:val="32"/>
          <w:szCs w:val="32"/>
          <w:highlight w:val="none"/>
          <w:lang w:val="en-US" w:eastAsia="zh-CN"/>
        </w:rPr>
      </w:pPr>
      <w:r>
        <w:rPr>
          <w:rStyle w:val="17"/>
          <w:rFonts w:hint="eastAsia" w:ascii="仿宋" w:hAnsi="仿宋" w:eastAsia="仿宋"/>
          <w:b w:val="0"/>
          <w:bCs w:val="0"/>
          <w:color w:val="auto"/>
          <w:sz w:val="32"/>
          <w:szCs w:val="32"/>
          <w:highlight w:val="none"/>
          <w:lang w:val="en-US" w:eastAsia="zh-CN"/>
        </w:rPr>
        <w:t>1.社会保障和就业（类）行政事业单位养老支出（款）机关事业单位基本养老保险缴费支出（项）:支出决算为22.35万元，完成预算100%，决算数等于预算数；社会保障和就业（类）行政事业单位养老支出（款）机关事业单位职业年金缴费支出（项）:支出决算为10.64万元，完成预算100%，决算数等于预算数； 社会保障和就业（类）行政事业单位养老支出（款）其他行政事业单位养老支出（项）:支出决算为4.20万元，完成预算100%，决算数等于预算数；社会保障和就业（类）残疾人事业（款）残疾人就业（项）:支出决算为1.81万元，完成预算100%，决算数等于预算数；社会保障和就业（类）其他社会保障和就业支出（款）其他社会保障和就业支出（项）:支出决算为2.21万元，完成预算100%，决算数等于预算数。</w:t>
      </w:r>
    </w:p>
    <w:p>
      <w:pPr>
        <w:spacing w:line="600" w:lineRule="exact"/>
        <w:ind w:firstLine="640" w:firstLineChars="200"/>
        <w:rPr>
          <w:rFonts w:hint="eastAsia" w:ascii="仿宋" w:hAnsi="仿宋" w:eastAsia="仿宋" w:cs="Times New Roman"/>
          <w:b w:val="0"/>
          <w:bCs w:val="0"/>
          <w:color w:val="000000"/>
          <w:sz w:val="32"/>
          <w:szCs w:val="32"/>
          <w:lang w:val="en-US" w:eastAsia="zh-CN"/>
        </w:rPr>
      </w:pPr>
      <w:r>
        <w:rPr>
          <w:rFonts w:hint="eastAsia" w:ascii="仿宋" w:hAnsi="仿宋" w:eastAsia="仿宋" w:cs="Times New Roman"/>
          <w:b w:val="0"/>
          <w:bCs w:val="0"/>
          <w:color w:val="000000"/>
          <w:sz w:val="32"/>
          <w:szCs w:val="32"/>
          <w:lang w:val="en-US" w:eastAsia="zh-CN"/>
        </w:rPr>
        <w:t>2.卫生健康支出(类）行政事业单位医疗（款）行政单位医疗（项）:支出决算为3.44万元，</w:t>
      </w:r>
      <w:r>
        <w:rPr>
          <w:rFonts w:hint="eastAsia" w:ascii="仿宋" w:hAnsi="仿宋" w:eastAsia="仿宋"/>
          <w:b w:val="0"/>
          <w:bCs w:val="0"/>
          <w:color w:val="000000"/>
          <w:sz w:val="32"/>
          <w:szCs w:val="32"/>
          <w:lang w:val="en-US" w:eastAsia="zh-CN"/>
        </w:rPr>
        <w:t>完成预算100%，</w:t>
      </w:r>
      <w:r>
        <w:rPr>
          <w:rStyle w:val="17"/>
          <w:rFonts w:hint="eastAsia" w:ascii="仿宋" w:hAnsi="仿宋" w:eastAsia="仿宋"/>
          <w:b w:val="0"/>
          <w:bCs w:val="0"/>
          <w:sz w:val="32"/>
          <w:szCs w:val="32"/>
        </w:rPr>
        <w:t>决算数等于预算数</w:t>
      </w:r>
      <w:r>
        <w:rPr>
          <w:rStyle w:val="17"/>
          <w:rFonts w:hint="eastAsia" w:ascii="仿宋" w:hAnsi="仿宋" w:eastAsia="仿宋"/>
          <w:b w:val="0"/>
          <w:bCs w:val="0"/>
          <w:sz w:val="32"/>
          <w:szCs w:val="32"/>
          <w:lang w:eastAsia="zh-CN"/>
        </w:rPr>
        <w:t>；</w:t>
      </w:r>
      <w:r>
        <w:rPr>
          <w:rFonts w:hint="eastAsia" w:ascii="仿宋" w:hAnsi="仿宋" w:eastAsia="仿宋"/>
          <w:b w:val="0"/>
          <w:bCs w:val="0"/>
          <w:color w:val="auto"/>
          <w:sz w:val="32"/>
          <w:szCs w:val="32"/>
          <w:highlight w:val="none"/>
        </w:rPr>
        <w:t>卫生健康</w:t>
      </w:r>
      <w:r>
        <w:rPr>
          <w:rStyle w:val="17"/>
          <w:rFonts w:hint="eastAsia" w:ascii="仿宋" w:hAnsi="仿宋" w:eastAsia="仿宋"/>
          <w:b w:val="0"/>
          <w:bCs w:val="0"/>
          <w:color w:val="auto"/>
          <w:sz w:val="32"/>
          <w:szCs w:val="32"/>
          <w:highlight w:val="none"/>
        </w:rPr>
        <w:t>（类）</w:t>
      </w:r>
      <w:r>
        <w:rPr>
          <w:rStyle w:val="17"/>
          <w:rFonts w:hint="eastAsia" w:ascii="仿宋" w:hAnsi="仿宋" w:eastAsia="仿宋"/>
          <w:b w:val="0"/>
          <w:bCs w:val="0"/>
          <w:color w:val="auto"/>
          <w:sz w:val="32"/>
          <w:szCs w:val="32"/>
          <w:highlight w:val="none"/>
          <w:lang w:val="en-US" w:eastAsia="zh-CN"/>
        </w:rPr>
        <w:t>行政事业单位医疗</w:t>
      </w:r>
      <w:r>
        <w:rPr>
          <w:rStyle w:val="17"/>
          <w:rFonts w:hint="eastAsia" w:ascii="仿宋" w:hAnsi="仿宋" w:eastAsia="仿宋"/>
          <w:b w:val="0"/>
          <w:bCs w:val="0"/>
          <w:color w:val="auto"/>
          <w:sz w:val="32"/>
          <w:szCs w:val="32"/>
          <w:highlight w:val="none"/>
        </w:rPr>
        <w:t>（款）</w:t>
      </w:r>
      <w:r>
        <w:rPr>
          <w:rStyle w:val="17"/>
          <w:rFonts w:hint="eastAsia" w:ascii="仿宋" w:hAnsi="仿宋" w:eastAsia="仿宋"/>
          <w:b w:val="0"/>
          <w:bCs w:val="0"/>
          <w:color w:val="auto"/>
          <w:sz w:val="32"/>
          <w:szCs w:val="32"/>
          <w:highlight w:val="none"/>
          <w:lang w:val="en-US" w:eastAsia="zh-CN"/>
        </w:rPr>
        <w:t>事业单位医疗</w:t>
      </w:r>
      <w:r>
        <w:rPr>
          <w:rStyle w:val="17"/>
          <w:rFonts w:hint="eastAsia" w:ascii="仿宋" w:hAnsi="仿宋" w:eastAsia="仿宋"/>
          <w:b w:val="0"/>
          <w:bCs w:val="0"/>
          <w:color w:val="auto"/>
          <w:sz w:val="32"/>
          <w:szCs w:val="32"/>
          <w:highlight w:val="none"/>
        </w:rPr>
        <w:t>（项）</w:t>
      </w:r>
      <w:r>
        <w:rPr>
          <w:rFonts w:hint="eastAsia" w:ascii="仿宋" w:hAnsi="仿宋" w:eastAsia="仿宋" w:cs="Times New Roman"/>
          <w:b w:val="0"/>
          <w:bCs w:val="0"/>
          <w:color w:val="000000"/>
          <w:sz w:val="32"/>
          <w:szCs w:val="32"/>
          <w:lang w:val="en-US" w:eastAsia="zh-CN"/>
        </w:rPr>
        <w:t xml:space="preserve">:支出决算为3.02万元，完成预算100%； </w:t>
      </w:r>
      <w:r>
        <w:rPr>
          <w:rFonts w:hint="eastAsia" w:ascii="仿宋" w:hAnsi="仿宋" w:eastAsia="仿宋"/>
          <w:b w:val="0"/>
          <w:bCs w:val="0"/>
          <w:color w:val="auto"/>
          <w:sz w:val="32"/>
          <w:szCs w:val="32"/>
          <w:highlight w:val="none"/>
        </w:rPr>
        <w:t>卫生健康</w:t>
      </w:r>
      <w:r>
        <w:rPr>
          <w:rStyle w:val="17"/>
          <w:rFonts w:hint="eastAsia" w:ascii="仿宋" w:hAnsi="仿宋" w:eastAsia="仿宋"/>
          <w:b w:val="0"/>
          <w:bCs w:val="0"/>
          <w:color w:val="auto"/>
          <w:sz w:val="32"/>
          <w:szCs w:val="32"/>
          <w:highlight w:val="none"/>
        </w:rPr>
        <w:t>（类）</w:t>
      </w:r>
      <w:r>
        <w:rPr>
          <w:rStyle w:val="17"/>
          <w:rFonts w:hint="eastAsia" w:ascii="仿宋" w:hAnsi="仿宋" w:eastAsia="仿宋"/>
          <w:b w:val="0"/>
          <w:bCs w:val="0"/>
          <w:color w:val="auto"/>
          <w:sz w:val="32"/>
          <w:szCs w:val="32"/>
          <w:highlight w:val="none"/>
          <w:lang w:val="en-US" w:eastAsia="zh-CN"/>
        </w:rPr>
        <w:t>行政事业单位医疗</w:t>
      </w:r>
      <w:r>
        <w:rPr>
          <w:rStyle w:val="17"/>
          <w:rFonts w:hint="eastAsia" w:ascii="仿宋" w:hAnsi="仿宋" w:eastAsia="仿宋"/>
          <w:b w:val="0"/>
          <w:bCs w:val="0"/>
          <w:color w:val="auto"/>
          <w:sz w:val="32"/>
          <w:szCs w:val="32"/>
          <w:highlight w:val="none"/>
        </w:rPr>
        <w:t>（款）</w:t>
      </w:r>
      <w:r>
        <w:rPr>
          <w:rStyle w:val="17"/>
          <w:rFonts w:hint="eastAsia" w:ascii="仿宋" w:hAnsi="仿宋" w:eastAsia="仿宋"/>
          <w:b w:val="0"/>
          <w:bCs w:val="0"/>
          <w:color w:val="auto"/>
          <w:sz w:val="32"/>
          <w:szCs w:val="32"/>
          <w:highlight w:val="none"/>
          <w:lang w:val="en-US" w:eastAsia="zh-CN"/>
        </w:rPr>
        <w:t>公务员医疗补助</w:t>
      </w:r>
      <w:r>
        <w:rPr>
          <w:rStyle w:val="17"/>
          <w:rFonts w:hint="eastAsia" w:ascii="仿宋" w:hAnsi="仿宋" w:eastAsia="仿宋"/>
          <w:b w:val="0"/>
          <w:bCs w:val="0"/>
          <w:color w:val="auto"/>
          <w:sz w:val="32"/>
          <w:szCs w:val="32"/>
          <w:highlight w:val="none"/>
        </w:rPr>
        <w:t>（项）</w:t>
      </w:r>
      <w:r>
        <w:rPr>
          <w:rStyle w:val="17"/>
          <w:rFonts w:ascii="仿宋" w:hAnsi="仿宋" w:eastAsia="仿宋"/>
          <w:b w:val="0"/>
          <w:bCs w:val="0"/>
          <w:color w:val="auto"/>
          <w:sz w:val="32"/>
          <w:szCs w:val="32"/>
          <w:highlight w:val="none"/>
        </w:rPr>
        <w:t>:</w:t>
      </w:r>
      <w:r>
        <w:rPr>
          <w:rFonts w:hint="eastAsia" w:ascii="仿宋" w:hAnsi="仿宋" w:eastAsia="仿宋" w:cs="Times New Roman"/>
          <w:b w:val="0"/>
          <w:bCs w:val="0"/>
          <w:color w:val="000000"/>
          <w:sz w:val="32"/>
          <w:szCs w:val="32"/>
          <w:lang w:val="en-US" w:eastAsia="zh-CN"/>
        </w:rPr>
        <w:t>支出决算为1.32万元，完成预算100%。</w:t>
      </w:r>
    </w:p>
    <w:p>
      <w:pPr>
        <w:numPr>
          <w:ilvl w:val="0"/>
          <w:numId w:val="0"/>
        </w:numPr>
        <w:spacing w:line="600" w:lineRule="exact"/>
        <w:ind w:firstLine="640" w:firstLineChars="200"/>
        <w:rPr>
          <w:rFonts w:ascii="仿宋" w:hAnsi="仿宋" w:eastAsia="仿宋"/>
          <w:b w:val="0"/>
          <w:bCs w:val="0"/>
          <w:color w:val="000000"/>
          <w:sz w:val="32"/>
          <w:szCs w:val="32"/>
        </w:rPr>
      </w:pPr>
      <w:r>
        <w:rPr>
          <w:rFonts w:hint="eastAsia" w:ascii="仿宋" w:hAnsi="仿宋" w:eastAsia="仿宋"/>
          <w:b w:val="0"/>
          <w:bCs w:val="0"/>
          <w:color w:val="000000"/>
          <w:sz w:val="32"/>
          <w:szCs w:val="32"/>
          <w:lang w:val="en-US" w:eastAsia="zh-CN"/>
        </w:rPr>
        <w:t>3.</w:t>
      </w:r>
      <w:r>
        <w:rPr>
          <w:rFonts w:hint="eastAsia" w:ascii="仿宋" w:hAnsi="仿宋" w:eastAsia="仿宋"/>
          <w:b w:val="0"/>
          <w:bCs w:val="0"/>
          <w:color w:val="000000"/>
          <w:sz w:val="32"/>
          <w:szCs w:val="32"/>
          <w:lang w:eastAsia="zh-CN"/>
        </w:rPr>
        <w:t>农林水支出</w:t>
      </w:r>
      <w:r>
        <w:rPr>
          <w:rFonts w:hint="eastAsia" w:ascii="仿宋" w:hAnsi="仿宋" w:eastAsia="仿宋"/>
          <w:b w:val="0"/>
          <w:bCs w:val="0"/>
          <w:color w:val="000000"/>
          <w:sz w:val="32"/>
          <w:szCs w:val="32"/>
          <w:lang w:val="en-US" w:eastAsia="zh-CN"/>
        </w:rPr>
        <w:t>（类）巩固脱贫攻坚成果衔接乡村振兴（款）其他巩固脱贫攻坚成果衔接乡村振兴支出（项）:2</w:t>
      </w:r>
      <w:r>
        <w:rPr>
          <w:rFonts w:hint="eastAsia" w:ascii="仿宋" w:hAnsi="仿宋" w:eastAsia="仿宋" w:cs="Times New Roman"/>
          <w:b w:val="0"/>
          <w:bCs w:val="0"/>
          <w:color w:val="000000"/>
          <w:sz w:val="32"/>
          <w:szCs w:val="32"/>
          <w:lang w:val="en-US" w:eastAsia="zh-CN"/>
        </w:rPr>
        <w:t>支出决算为</w:t>
      </w:r>
      <w:r>
        <w:rPr>
          <w:rFonts w:hint="eastAsia" w:ascii="仿宋" w:hAnsi="仿宋" w:eastAsia="仿宋"/>
          <w:b w:val="0"/>
          <w:bCs w:val="0"/>
          <w:color w:val="000000"/>
          <w:sz w:val="32"/>
          <w:szCs w:val="32"/>
          <w:lang w:val="en-US" w:eastAsia="zh-CN"/>
        </w:rPr>
        <w:t>1.5万元，完成预算100%；</w:t>
      </w:r>
      <w:r>
        <w:rPr>
          <w:rFonts w:hint="eastAsia" w:ascii="仿宋" w:hAnsi="仿宋" w:eastAsia="仿宋"/>
          <w:b w:val="0"/>
          <w:bCs w:val="0"/>
          <w:color w:val="000000"/>
          <w:sz w:val="32"/>
          <w:szCs w:val="32"/>
          <w:lang w:eastAsia="zh-CN"/>
        </w:rPr>
        <w:t>农林水支出</w:t>
      </w:r>
      <w:r>
        <w:rPr>
          <w:rFonts w:hint="eastAsia" w:ascii="仿宋" w:hAnsi="仿宋" w:eastAsia="仿宋"/>
          <w:b w:val="0"/>
          <w:bCs w:val="0"/>
          <w:color w:val="000000"/>
          <w:sz w:val="32"/>
          <w:szCs w:val="32"/>
          <w:lang w:val="en-US" w:eastAsia="zh-CN"/>
        </w:rPr>
        <w:t>（类）其他农林水支出（款）其他农林水支出（项）:</w:t>
      </w:r>
      <w:r>
        <w:rPr>
          <w:rFonts w:hint="eastAsia" w:ascii="仿宋" w:hAnsi="仿宋" w:eastAsia="仿宋" w:cs="Times New Roman"/>
          <w:b w:val="0"/>
          <w:bCs w:val="0"/>
          <w:color w:val="000000"/>
          <w:sz w:val="32"/>
          <w:szCs w:val="32"/>
          <w:lang w:val="en-US" w:eastAsia="zh-CN"/>
        </w:rPr>
        <w:t>支出决算为</w:t>
      </w:r>
      <w:r>
        <w:rPr>
          <w:rFonts w:hint="eastAsia" w:ascii="仿宋" w:hAnsi="仿宋" w:eastAsia="仿宋"/>
          <w:b w:val="0"/>
          <w:bCs w:val="0"/>
          <w:color w:val="000000"/>
          <w:sz w:val="32"/>
          <w:szCs w:val="32"/>
          <w:lang w:val="en-US" w:eastAsia="zh-CN"/>
        </w:rPr>
        <w:t>314.4万元，完成预算100%；</w:t>
      </w:r>
    </w:p>
    <w:p>
      <w:pPr>
        <w:numPr>
          <w:ilvl w:val="0"/>
          <w:numId w:val="0"/>
        </w:numPr>
        <w:spacing w:line="600" w:lineRule="exact"/>
        <w:ind w:firstLine="640" w:firstLineChars="200"/>
        <w:rPr>
          <w:rFonts w:hint="eastAsia" w:ascii="仿宋" w:hAnsi="仿宋" w:eastAsia="仿宋"/>
          <w:b w:val="0"/>
          <w:bCs w:val="0"/>
          <w:color w:val="000000"/>
          <w:sz w:val="32"/>
          <w:szCs w:val="32"/>
          <w:lang w:val="en-US" w:eastAsia="zh-CN"/>
        </w:rPr>
      </w:pPr>
      <w:r>
        <w:rPr>
          <w:rFonts w:hint="eastAsia" w:ascii="仿宋" w:hAnsi="仿宋" w:eastAsia="仿宋"/>
          <w:b w:val="0"/>
          <w:bCs w:val="0"/>
          <w:color w:val="000000"/>
          <w:sz w:val="32"/>
          <w:szCs w:val="32"/>
          <w:lang w:val="en-US" w:eastAsia="zh-CN"/>
        </w:rPr>
        <w:t>4.</w:t>
      </w:r>
      <w:r>
        <w:rPr>
          <w:rFonts w:hint="eastAsia" w:ascii="仿宋" w:hAnsi="仿宋" w:eastAsia="仿宋"/>
          <w:b w:val="0"/>
          <w:bCs w:val="0"/>
          <w:color w:val="000000"/>
          <w:sz w:val="32"/>
          <w:szCs w:val="32"/>
          <w:lang w:eastAsia="zh-CN"/>
        </w:rPr>
        <w:t>交通运输支出</w:t>
      </w:r>
      <w:r>
        <w:rPr>
          <w:rFonts w:hint="eastAsia" w:ascii="仿宋" w:hAnsi="仿宋" w:eastAsia="仿宋"/>
          <w:b w:val="0"/>
          <w:bCs w:val="0"/>
          <w:color w:val="000000"/>
          <w:sz w:val="32"/>
          <w:szCs w:val="32"/>
          <w:lang w:val="en-US" w:eastAsia="zh-CN"/>
        </w:rPr>
        <w:t xml:space="preserve">（类）公路水路运输（款）行政运行（项）: </w:t>
      </w:r>
      <w:r>
        <w:rPr>
          <w:rFonts w:hint="eastAsia" w:ascii="仿宋" w:hAnsi="仿宋" w:eastAsia="仿宋" w:cs="Times New Roman"/>
          <w:b w:val="0"/>
          <w:bCs w:val="0"/>
          <w:color w:val="000000"/>
          <w:sz w:val="32"/>
          <w:szCs w:val="32"/>
          <w:lang w:val="en-US" w:eastAsia="zh-CN"/>
        </w:rPr>
        <w:t>支出决算为</w:t>
      </w:r>
      <w:r>
        <w:rPr>
          <w:rFonts w:hint="eastAsia" w:ascii="仿宋" w:hAnsi="仿宋" w:eastAsia="仿宋"/>
          <w:b w:val="0"/>
          <w:bCs w:val="0"/>
          <w:color w:val="000000"/>
          <w:sz w:val="32"/>
          <w:szCs w:val="32"/>
          <w:lang w:val="en-US" w:eastAsia="zh-CN"/>
        </w:rPr>
        <w:t>163.79万元，完成预算100%；</w:t>
      </w:r>
      <w:r>
        <w:rPr>
          <w:rFonts w:hint="eastAsia" w:ascii="仿宋" w:hAnsi="仿宋" w:eastAsia="仿宋"/>
          <w:b w:val="0"/>
          <w:bCs w:val="0"/>
          <w:color w:val="auto"/>
          <w:sz w:val="32"/>
          <w:szCs w:val="32"/>
          <w:highlight w:val="none"/>
          <w:lang w:val="en-US" w:eastAsia="zh-CN"/>
        </w:rPr>
        <w:t>交通运输支出</w:t>
      </w:r>
      <w:r>
        <w:rPr>
          <w:rStyle w:val="17"/>
          <w:rFonts w:hint="eastAsia" w:ascii="仿宋" w:hAnsi="仿宋" w:eastAsia="仿宋"/>
          <w:b w:val="0"/>
          <w:bCs w:val="0"/>
          <w:color w:val="auto"/>
          <w:sz w:val="32"/>
          <w:szCs w:val="32"/>
          <w:highlight w:val="none"/>
        </w:rPr>
        <w:t>（类）</w:t>
      </w:r>
      <w:r>
        <w:rPr>
          <w:rStyle w:val="17"/>
          <w:rFonts w:hint="eastAsia" w:ascii="仿宋" w:hAnsi="仿宋" w:eastAsia="仿宋"/>
          <w:b w:val="0"/>
          <w:bCs w:val="0"/>
          <w:color w:val="auto"/>
          <w:sz w:val="32"/>
          <w:szCs w:val="32"/>
          <w:highlight w:val="none"/>
          <w:lang w:val="en-US" w:eastAsia="zh-CN"/>
        </w:rPr>
        <w:t>公路水路运输</w:t>
      </w:r>
      <w:r>
        <w:rPr>
          <w:rStyle w:val="17"/>
          <w:rFonts w:hint="eastAsia" w:ascii="仿宋" w:hAnsi="仿宋" w:eastAsia="仿宋"/>
          <w:b w:val="0"/>
          <w:bCs w:val="0"/>
          <w:color w:val="auto"/>
          <w:sz w:val="32"/>
          <w:szCs w:val="32"/>
          <w:highlight w:val="none"/>
        </w:rPr>
        <w:t>（款）</w:t>
      </w:r>
      <w:r>
        <w:rPr>
          <w:rStyle w:val="17"/>
          <w:rFonts w:hint="eastAsia" w:ascii="仿宋" w:hAnsi="仿宋" w:eastAsia="仿宋"/>
          <w:b w:val="0"/>
          <w:bCs w:val="0"/>
          <w:color w:val="auto"/>
          <w:sz w:val="32"/>
          <w:szCs w:val="32"/>
          <w:highlight w:val="none"/>
          <w:lang w:val="en-US" w:eastAsia="zh-CN"/>
        </w:rPr>
        <w:t>公路建设</w:t>
      </w:r>
      <w:r>
        <w:rPr>
          <w:rStyle w:val="17"/>
          <w:rFonts w:hint="eastAsia" w:ascii="仿宋" w:hAnsi="仿宋" w:eastAsia="仿宋"/>
          <w:b w:val="0"/>
          <w:bCs w:val="0"/>
          <w:color w:val="auto"/>
          <w:sz w:val="32"/>
          <w:szCs w:val="32"/>
          <w:highlight w:val="none"/>
        </w:rPr>
        <w:t>（项）</w:t>
      </w:r>
      <w:r>
        <w:rPr>
          <w:rStyle w:val="17"/>
          <w:rFonts w:ascii="仿宋" w:hAnsi="仿宋" w:eastAsia="仿宋"/>
          <w:b w:val="0"/>
          <w:bCs w:val="0"/>
          <w:color w:val="auto"/>
          <w:sz w:val="32"/>
          <w:szCs w:val="32"/>
          <w:highlight w:val="none"/>
        </w:rPr>
        <w:t xml:space="preserve">: </w:t>
      </w:r>
      <w:r>
        <w:rPr>
          <w:rFonts w:hint="eastAsia" w:ascii="仿宋" w:hAnsi="仿宋" w:eastAsia="仿宋" w:cs="Times New Roman"/>
          <w:b w:val="0"/>
          <w:bCs w:val="0"/>
          <w:color w:val="000000"/>
          <w:sz w:val="32"/>
          <w:szCs w:val="32"/>
          <w:lang w:val="en-US" w:eastAsia="zh-CN"/>
        </w:rPr>
        <w:t>支出决算为</w:t>
      </w:r>
      <w:r>
        <w:rPr>
          <w:rFonts w:hint="eastAsia" w:ascii="仿宋" w:hAnsi="仿宋" w:eastAsia="仿宋"/>
          <w:b w:val="0"/>
          <w:bCs w:val="0"/>
          <w:color w:val="000000"/>
          <w:sz w:val="32"/>
          <w:szCs w:val="32"/>
          <w:lang w:val="en-US" w:eastAsia="zh-CN"/>
        </w:rPr>
        <w:t>927.05万</w:t>
      </w:r>
      <w:r>
        <w:rPr>
          <w:rStyle w:val="17"/>
          <w:rFonts w:hint="eastAsia" w:ascii="仿宋" w:hAnsi="仿宋" w:eastAsia="仿宋"/>
          <w:b w:val="0"/>
          <w:bCs w:val="0"/>
          <w:color w:val="auto"/>
          <w:sz w:val="32"/>
          <w:szCs w:val="32"/>
          <w:highlight w:val="none"/>
          <w:lang w:val="en-US" w:eastAsia="zh-CN"/>
        </w:rPr>
        <w:t>元，完成预算100%；交通运输支出（类）公路水路运输（款）公路养护（项）15.29万元，完成预算100%；交通运输支出（类）公路水路运输（款）公路和运输安全（项）18万元，完成预算100%；</w:t>
      </w:r>
      <w:r>
        <w:rPr>
          <w:rFonts w:hint="eastAsia" w:ascii="仿宋" w:hAnsi="仿宋" w:eastAsia="仿宋"/>
          <w:b w:val="0"/>
          <w:bCs w:val="0"/>
          <w:color w:val="auto"/>
          <w:sz w:val="32"/>
          <w:szCs w:val="32"/>
          <w:highlight w:val="none"/>
          <w:lang w:val="en-US" w:eastAsia="zh-CN"/>
        </w:rPr>
        <w:t>交通运输支出</w:t>
      </w:r>
      <w:r>
        <w:rPr>
          <w:rStyle w:val="17"/>
          <w:rFonts w:hint="eastAsia" w:ascii="仿宋" w:hAnsi="仿宋" w:eastAsia="仿宋"/>
          <w:b w:val="0"/>
          <w:bCs w:val="0"/>
          <w:color w:val="auto"/>
          <w:sz w:val="32"/>
          <w:szCs w:val="32"/>
          <w:highlight w:val="none"/>
        </w:rPr>
        <w:t>（类）</w:t>
      </w:r>
      <w:r>
        <w:rPr>
          <w:rStyle w:val="17"/>
          <w:rFonts w:hint="eastAsia" w:ascii="仿宋" w:hAnsi="仿宋" w:eastAsia="仿宋"/>
          <w:b w:val="0"/>
          <w:bCs w:val="0"/>
          <w:color w:val="auto"/>
          <w:sz w:val="32"/>
          <w:szCs w:val="32"/>
          <w:highlight w:val="none"/>
          <w:lang w:val="en-US" w:eastAsia="zh-CN"/>
        </w:rPr>
        <w:t>公路水路运输</w:t>
      </w:r>
      <w:r>
        <w:rPr>
          <w:rStyle w:val="17"/>
          <w:rFonts w:hint="eastAsia" w:ascii="仿宋" w:hAnsi="仿宋" w:eastAsia="仿宋"/>
          <w:b w:val="0"/>
          <w:bCs w:val="0"/>
          <w:color w:val="auto"/>
          <w:sz w:val="32"/>
          <w:szCs w:val="32"/>
          <w:highlight w:val="none"/>
        </w:rPr>
        <w:t>（款）</w:t>
      </w:r>
      <w:r>
        <w:rPr>
          <w:rFonts w:hint="eastAsia" w:ascii="仿宋" w:hAnsi="仿宋" w:eastAsia="仿宋"/>
          <w:b w:val="0"/>
          <w:bCs w:val="0"/>
          <w:color w:val="000000"/>
          <w:sz w:val="32"/>
          <w:szCs w:val="32"/>
          <w:lang w:val="en-US" w:eastAsia="zh-CN"/>
        </w:rPr>
        <w:t>海事管理项）:82.87万元，完成预算100%；</w:t>
      </w:r>
    </w:p>
    <w:p>
      <w:pPr>
        <w:pStyle w:val="2"/>
        <w:ind w:firstLine="640" w:firstLineChars="200"/>
        <w:rPr>
          <w:rFonts w:hint="eastAsia"/>
          <w:b w:val="0"/>
          <w:bCs w:val="0"/>
        </w:rPr>
      </w:pPr>
      <w:r>
        <w:rPr>
          <w:rFonts w:hint="eastAsia" w:ascii="仿宋" w:hAnsi="仿宋" w:eastAsia="仿宋" w:cs="Times New Roman"/>
          <w:b w:val="0"/>
          <w:bCs w:val="0"/>
          <w:color w:val="000000"/>
          <w:sz w:val="32"/>
          <w:szCs w:val="32"/>
          <w:lang w:val="en-US" w:eastAsia="zh-CN"/>
        </w:rPr>
        <w:t>5.</w:t>
      </w:r>
      <w:r>
        <w:rPr>
          <w:rFonts w:hint="eastAsia" w:ascii="仿宋" w:hAnsi="仿宋" w:eastAsia="仿宋"/>
          <w:b w:val="0"/>
          <w:bCs w:val="0"/>
          <w:color w:val="auto"/>
          <w:sz w:val="32"/>
          <w:szCs w:val="32"/>
          <w:highlight w:val="none"/>
          <w:lang w:val="en-US" w:eastAsia="zh-CN"/>
        </w:rPr>
        <w:t>住房保障支出支出</w:t>
      </w:r>
      <w:r>
        <w:rPr>
          <w:rStyle w:val="17"/>
          <w:rFonts w:hint="eastAsia" w:ascii="仿宋" w:hAnsi="仿宋" w:eastAsia="仿宋"/>
          <w:b w:val="0"/>
          <w:bCs w:val="0"/>
          <w:color w:val="auto"/>
          <w:sz w:val="32"/>
          <w:szCs w:val="32"/>
          <w:highlight w:val="none"/>
        </w:rPr>
        <w:t>（类）</w:t>
      </w:r>
      <w:r>
        <w:rPr>
          <w:rStyle w:val="17"/>
          <w:rFonts w:hint="eastAsia" w:ascii="仿宋" w:hAnsi="仿宋" w:eastAsia="仿宋"/>
          <w:b w:val="0"/>
          <w:bCs w:val="0"/>
          <w:color w:val="auto"/>
          <w:sz w:val="32"/>
          <w:szCs w:val="32"/>
          <w:highlight w:val="none"/>
          <w:lang w:val="en-US" w:eastAsia="zh-CN"/>
        </w:rPr>
        <w:t>住房改革支出</w:t>
      </w:r>
      <w:r>
        <w:rPr>
          <w:rStyle w:val="17"/>
          <w:rFonts w:hint="eastAsia" w:ascii="仿宋" w:hAnsi="仿宋" w:eastAsia="仿宋"/>
          <w:b w:val="0"/>
          <w:bCs w:val="0"/>
          <w:color w:val="auto"/>
          <w:sz w:val="32"/>
          <w:szCs w:val="32"/>
          <w:highlight w:val="none"/>
        </w:rPr>
        <w:t>（款）</w:t>
      </w:r>
      <w:r>
        <w:rPr>
          <w:rStyle w:val="17"/>
          <w:rFonts w:hint="eastAsia" w:ascii="仿宋" w:hAnsi="仿宋" w:eastAsia="仿宋"/>
          <w:b w:val="0"/>
          <w:bCs w:val="0"/>
          <w:color w:val="auto"/>
          <w:sz w:val="32"/>
          <w:szCs w:val="32"/>
          <w:highlight w:val="none"/>
          <w:lang w:val="en-US" w:eastAsia="zh-CN"/>
        </w:rPr>
        <w:t>住房公积金</w:t>
      </w:r>
      <w:r>
        <w:rPr>
          <w:rStyle w:val="17"/>
          <w:rFonts w:hint="eastAsia" w:ascii="仿宋" w:hAnsi="仿宋" w:eastAsia="仿宋"/>
          <w:b w:val="0"/>
          <w:bCs w:val="0"/>
          <w:color w:val="auto"/>
          <w:sz w:val="32"/>
          <w:szCs w:val="32"/>
          <w:highlight w:val="none"/>
        </w:rPr>
        <w:t>（项）</w:t>
      </w:r>
      <w:r>
        <w:rPr>
          <w:rStyle w:val="17"/>
          <w:rFonts w:hint="eastAsia" w:ascii="仿宋" w:hAnsi="仿宋" w:eastAsia="仿宋"/>
          <w:b w:val="0"/>
          <w:bCs w:val="0"/>
          <w:color w:val="auto"/>
          <w:sz w:val="32"/>
          <w:szCs w:val="32"/>
          <w:highlight w:val="none"/>
          <w:lang w:val="en-US" w:eastAsia="zh-CN"/>
        </w:rPr>
        <w:t>:</w:t>
      </w:r>
      <w:r>
        <w:rPr>
          <w:rFonts w:hint="eastAsia" w:ascii="仿宋" w:hAnsi="仿宋" w:eastAsia="仿宋" w:cs="Times New Roman"/>
          <w:b w:val="0"/>
          <w:bCs w:val="0"/>
          <w:color w:val="000000"/>
          <w:sz w:val="32"/>
          <w:szCs w:val="32"/>
          <w:lang w:val="en-US" w:eastAsia="zh-CN"/>
        </w:rPr>
        <w:t>支出决算18.21万元，完成预算100%；</w:t>
      </w:r>
    </w:p>
    <w:p>
      <w:pPr>
        <w:spacing w:line="600" w:lineRule="exact"/>
        <w:rPr>
          <w:rFonts w:ascii="仿宋" w:hAnsi="仿宋" w:eastAsia="仿宋"/>
          <w:b w:val="0"/>
          <w:bCs w:val="0"/>
          <w:sz w:val="32"/>
          <w:szCs w:val="32"/>
        </w:rPr>
      </w:pPr>
    </w:p>
    <w:p>
      <w:pPr>
        <w:spacing w:line="600" w:lineRule="exact"/>
        <w:ind w:firstLine="640" w:firstLineChars="200"/>
        <w:rPr>
          <w:rFonts w:ascii="仿宋" w:hAnsi="仿宋" w:eastAsia="仿宋"/>
          <w:b w:val="0"/>
          <w:bCs w:val="0"/>
          <w:sz w:val="32"/>
          <w:szCs w:val="32"/>
        </w:rPr>
      </w:pPr>
      <w:r>
        <w:rPr>
          <w:rFonts w:hint="eastAsia" w:ascii="仿宋" w:hAnsi="仿宋" w:eastAsia="仿宋"/>
          <w:b w:val="0"/>
          <w:bCs w:val="0"/>
          <w:sz w:val="32"/>
          <w:szCs w:val="32"/>
        </w:rPr>
        <w:t>（注：数据来源于财决</w:t>
      </w:r>
      <w:r>
        <w:rPr>
          <w:rFonts w:ascii="仿宋" w:hAnsi="仿宋" w:eastAsia="仿宋"/>
          <w:b w:val="0"/>
          <w:bCs w:val="0"/>
          <w:sz w:val="32"/>
          <w:szCs w:val="32"/>
        </w:rPr>
        <w:t>0</w:t>
      </w:r>
      <w:r>
        <w:rPr>
          <w:rFonts w:hint="eastAsia" w:ascii="仿宋" w:hAnsi="仿宋" w:eastAsia="仿宋"/>
          <w:b w:val="0"/>
          <w:bCs w:val="0"/>
          <w:sz w:val="32"/>
          <w:szCs w:val="32"/>
        </w:rPr>
        <w:t>1-1表和财决08表，仅罗列本单位涉及的全部功能分类科目，至项级。上述“预算”口径为全年预算数。增减变动原因为决算数</w:t>
      </w:r>
      <w:r>
        <w:rPr>
          <w:rFonts w:ascii="仿宋" w:hAnsi="仿宋" w:eastAsia="仿宋"/>
          <w:b w:val="0"/>
          <w:bCs w:val="0"/>
          <w:sz w:val="32"/>
          <w:szCs w:val="32"/>
        </w:rPr>
        <w:t>&lt;</w:t>
      </w:r>
      <w:r>
        <w:rPr>
          <w:rFonts w:hint="eastAsia" w:ascii="仿宋" w:hAnsi="仿宋" w:eastAsia="仿宋"/>
          <w:b w:val="0"/>
          <w:bCs w:val="0"/>
          <w:sz w:val="32"/>
          <w:szCs w:val="32"/>
        </w:rPr>
        <w:t>项级</w:t>
      </w:r>
      <w:r>
        <w:rPr>
          <w:rFonts w:ascii="仿宋" w:hAnsi="仿宋" w:eastAsia="仿宋"/>
          <w:b w:val="0"/>
          <w:bCs w:val="0"/>
          <w:sz w:val="32"/>
          <w:szCs w:val="32"/>
        </w:rPr>
        <w:t>&gt;</w:t>
      </w:r>
      <w:r>
        <w:rPr>
          <w:rFonts w:hint="eastAsia" w:ascii="仿宋" w:hAnsi="仿宋" w:eastAsia="仿宋"/>
          <w:b w:val="0"/>
          <w:bCs w:val="0"/>
          <w:sz w:val="32"/>
          <w:szCs w:val="32"/>
        </w:rPr>
        <w:t>和全年预算数</w:t>
      </w:r>
      <w:r>
        <w:rPr>
          <w:rFonts w:ascii="仿宋" w:hAnsi="仿宋" w:eastAsia="仿宋"/>
          <w:b w:val="0"/>
          <w:bCs w:val="0"/>
          <w:sz w:val="32"/>
          <w:szCs w:val="32"/>
        </w:rPr>
        <w:t>&lt;</w:t>
      </w:r>
      <w:r>
        <w:rPr>
          <w:rFonts w:hint="eastAsia" w:ascii="仿宋" w:hAnsi="仿宋" w:eastAsia="仿宋"/>
          <w:b w:val="0"/>
          <w:bCs w:val="0"/>
          <w:sz w:val="32"/>
          <w:szCs w:val="32"/>
        </w:rPr>
        <w:t>项级</w:t>
      </w:r>
      <w:r>
        <w:rPr>
          <w:rFonts w:ascii="仿宋" w:hAnsi="仿宋" w:eastAsia="仿宋"/>
          <w:b w:val="0"/>
          <w:bCs w:val="0"/>
          <w:sz w:val="32"/>
          <w:szCs w:val="32"/>
        </w:rPr>
        <w:t>&gt;</w:t>
      </w:r>
      <w:r>
        <w:rPr>
          <w:rFonts w:hint="eastAsia" w:ascii="仿宋" w:hAnsi="仿宋" w:eastAsia="仿宋"/>
          <w:b w:val="0"/>
          <w:bCs w:val="0"/>
          <w:sz w:val="32"/>
          <w:szCs w:val="32"/>
        </w:rPr>
        <w:t>比较，与预算数持平可以不写原因。）</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9"/>
        </w:rPr>
      </w:pPr>
      <w:bookmarkStart w:id="52" w:name="_Toc15377214"/>
      <w:bookmarkStart w:id="53" w:name="_Toc11126"/>
      <w:bookmarkStart w:id="54"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52"/>
      <w:bookmarkEnd w:id="53"/>
      <w:bookmarkEnd w:id="54"/>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年度一般公共预算财政拨款基本支出</w:t>
      </w:r>
      <w:r>
        <w:rPr>
          <w:rFonts w:hint="eastAsia" w:ascii="仿宋_GB2312" w:hAnsi="仿宋_GB2312" w:eastAsia="仿宋_GB2312" w:cs="仿宋_GB2312"/>
          <w:sz w:val="32"/>
          <w:szCs w:val="32"/>
        </w:rPr>
        <w:t>312.39</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_GB2312" w:hAnsi="仿宋_GB2312" w:eastAsia="仿宋_GB2312" w:cs="仿宋_GB2312"/>
          <w:sz w:val="32"/>
          <w:szCs w:val="32"/>
        </w:rPr>
        <w:t>288.95</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_GB2312" w:hAnsi="仿宋_GB2312" w:eastAsia="仿宋_GB2312" w:cs="仿宋_GB2312"/>
          <w:sz w:val="32"/>
          <w:szCs w:val="32"/>
        </w:rPr>
        <w:t>23.43</w:t>
      </w:r>
      <w:r>
        <w:rPr>
          <w:rFonts w:hint="eastAsia" w:ascii="仿宋" w:hAnsi="仿宋" w:eastAsia="仿宋"/>
          <w:sz w:val="32"/>
          <w:szCs w:val="32"/>
        </w:rPr>
        <w:t>万元，主要包括：办公费、印刷费、水费、电费、邮电费、差旅费、维修（护）费、租赁费、会议费、培训费、公务接待费、劳务费、委托业务费、工会经费、其他交通费等。</w:t>
      </w:r>
    </w:p>
    <w:p>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7表和财决08-1表，仅罗列本单位实际支出涉及的经济分类科目。）</w:t>
      </w:r>
    </w:p>
    <w:p>
      <w:pPr>
        <w:spacing w:line="600" w:lineRule="exact"/>
        <w:ind w:firstLine="640"/>
        <w:rPr>
          <w:rFonts w:ascii="仿宋" w:hAnsi="仿宋" w:eastAsia="仿宋"/>
          <w:b/>
          <w:sz w:val="32"/>
          <w:szCs w:val="32"/>
        </w:rPr>
      </w:pPr>
    </w:p>
    <w:p>
      <w:pPr>
        <w:spacing w:line="600" w:lineRule="exact"/>
        <w:ind w:firstLine="640"/>
        <w:outlineLvl w:val="1"/>
        <w:rPr>
          <w:rStyle w:val="29"/>
          <w:rFonts w:ascii="黑体" w:hAnsi="黑体" w:eastAsia="黑体"/>
          <w:b w:val="0"/>
        </w:rPr>
      </w:pPr>
      <w:bookmarkStart w:id="55" w:name="_Toc15396609"/>
      <w:bookmarkStart w:id="56" w:name="_Toc15377215"/>
      <w:bookmarkStart w:id="57" w:name="_Toc146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55"/>
      <w:bookmarkEnd w:id="56"/>
      <w:bookmarkEnd w:id="57"/>
    </w:p>
    <w:p>
      <w:pPr>
        <w:spacing w:line="600" w:lineRule="exact"/>
        <w:ind w:firstLine="640"/>
        <w:outlineLvl w:val="2"/>
        <w:rPr>
          <w:rFonts w:ascii="仿宋" w:hAnsi="仿宋" w:eastAsia="仿宋"/>
          <w:b/>
          <w:sz w:val="32"/>
          <w:szCs w:val="32"/>
        </w:rPr>
      </w:pPr>
      <w:bookmarkStart w:id="58" w:name="_Toc15377216"/>
      <w:r>
        <w:rPr>
          <w:rFonts w:hint="eastAsia" w:ascii="仿宋" w:hAnsi="仿宋" w:eastAsia="仿宋"/>
          <w:b/>
          <w:sz w:val="32"/>
          <w:szCs w:val="32"/>
        </w:rPr>
        <w:t>（一）“三公”经费财政拨款支出决算总体情况说明</w:t>
      </w:r>
      <w:bookmarkEnd w:id="58"/>
    </w:p>
    <w:p>
      <w:pPr>
        <w:spacing w:line="600" w:lineRule="exact"/>
        <w:ind w:firstLine="640"/>
        <w:rPr>
          <w:rFonts w:ascii="仿宋" w:hAnsi="仿宋" w:eastAsia="仿宋"/>
          <w:sz w:val="32"/>
          <w:szCs w:val="32"/>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0.56</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43.02</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 w:hAnsi="仿宋" w:eastAsia="仿宋"/>
          <w:sz w:val="32"/>
          <w:szCs w:val="32"/>
        </w:rPr>
        <w:t>，较上年度</w:t>
      </w:r>
      <w:r>
        <w:rPr>
          <w:rFonts w:hint="eastAsia" w:ascii="仿宋" w:hAnsi="仿宋" w:eastAsia="仿宋"/>
          <w:sz w:val="32"/>
          <w:szCs w:val="32"/>
          <w:lang w:eastAsia="zh-CN"/>
        </w:rPr>
        <w:t>减少</w:t>
      </w:r>
      <w:r>
        <w:rPr>
          <w:rFonts w:hint="eastAsia" w:ascii="仿宋" w:hAnsi="仿宋" w:eastAsia="仿宋"/>
          <w:sz w:val="32"/>
          <w:szCs w:val="32"/>
          <w:lang w:val="en-US" w:eastAsia="zh-CN"/>
        </w:rPr>
        <w:t>0.62</w:t>
      </w:r>
      <w:r>
        <w:rPr>
          <w:rFonts w:hint="eastAsia"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52</w:t>
      </w:r>
      <w:r>
        <w:rPr>
          <w:rFonts w:hint="eastAsia" w:ascii="仿宋" w:hAnsi="仿宋" w:eastAsia="仿宋"/>
          <w:sz w:val="32"/>
          <w:szCs w:val="32"/>
        </w:rPr>
        <w:t>%。决算数小于预算数的主要原因是</w:t>
      </w:r>
      <w:r>
        <w:rPr>
          <w:rFonts w:hint="eastAsia" w:ascii="仿宋" w:hAnsi="仿宋" w:eastAsia="仿宋"/>
          <w:sz w:val="32"/>
          <w:szCs w:val="32"/>
          <w:lang w:eastAsia="zh-CN"/>
        </w:rPr>
        <w:t>控制公务接待成本，实际公务接待小于预算</w:t>
      </w:r>
      <w:r>
        <w:rPr>
          <w:rFonts w:hint="eastAsia" w:ascii="仿宋" w:hAnsi="仿宋" w:eastAsia="仿宋"/>
          <w:sz w:val="32"/>
          <w:szCs w:val="32"/>
        </w:rPr>
        <w:t>。</w:t>
      </w:r>
    </w:p>
    <w:p>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（注：上述“预算”口径为全年预算数，包括一般公共预算和政府性基金预算财政拨款支出决算情况。）</w:t>
      </w:r>
    </w:p>
    <w:p>
      <w:pPr>
        <w:spacing w:line="600" w:lineRule="exact"/>
        <w:ind w:firstLine="640"/>
        <w:outlineLvl w:val="2"/>
        <w:rPr>
          <w:rFonts w:ascii="仿宋" w:hAnsi="仿宋" w:eastAsia="仿宋"/>
          <w:b/>
          <w:sz w:val="32"/>
          <w:szCs w:val="32"/>
        </w:rPr>
      </w:pPr>
      <w:bookmarkStart w:id="59" w:name="_Toc15377217"/>
      <w:r>
        <w:rPr>
          <w:rFonts w:hint="eastAsia" w:ascii="仿宋" w:hAnsi="仿宋" w:eastAsia="仿宋"/>
          <w:b/>
          <w:sz w:val="32"/>
          <w:szCs w:val="32"/>
        </w:rPr>
        <w:t>（二）“三公”经费财政拨款支出决算具体情况说明</w:t>
      </w:r>
      <w:bookmarkEnd w:id="59"/>
    </w:p>
    <w:p>
      <w:pPr>
        <w:spacing w:line="600" w:lineRule="exact"/>
        <w:ind w:firstLine="640"/>
        <w:rPr>
          <w:rFonts w:hint="eastAsia"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24</w:t>
      </w:r>
      <w:r>
        <w:rPr>
          <w:rFonts w:hint="eastAsia" w:ascii="仿宋" w:hAnsi="仿宋" w:eastAsia="仿宋"/>
          <w:sz w:val="32"/>
          <w:szCs w:val="32"/>
        </w:rPr>
        <w:t>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b/>
          <w:sz w:val="32"/>
          <w:szCs w:val="32"/>
          <w:lang w:val="en-US" w:eastAsia="zh-CN"/>
        </w:rPr>
        <w:t>0.56</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。具体情况如下：</w:t>
      </w:r>
    </w:p>
    <w:p>
      <w:pPr>
        <w:pStyle w:val="2"/>
      </w:pPr>
      <w:r>
        <w:drawing>
          <wp:inline distT="0" distB="0" distL="114300" distR="114300">
            <wp:extent cx="4572000" cy="1946910"/>
            <wp:effectExtent l="4445" t="4445" r="14605" b="10795"/>
            <wp:docPr id="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bookmarkStart w:id="60" w:name="_Toc15396610"/>
      <w:bookmarkStart w:id="61"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w:t>
      </w:r>
      <w:r>
        <w:rPr>
          <w:rFonts w:hint="eastAsia" w:ascii="仿宋_GB2312" w:eastAsia="仿宋_GB2312"/>
          <w:sz w:val="32"/>
          <w:szCs w:val="32"/>
          <w:lang w:val="en-US" w:eastAsia="zh-CN"/>
        </w:rPr>
        <w:t>3</w:t>
      </w:r>
      <w:r>
        <w:rPr>
          <w:rFonts w:hint="eastAsia" w:ascii="仿宋_GB2312" w:eastAsia="仿宋_GB2312"/>
          <w:sz w:val="32"/>
          <w:szCs w:val="32"/>
        </w:rPr>
        <w:t>年增加</w:t>
      </w:r>
      <w:r>
        <w:rPr>
          <w:rFonts w:ascii="仿宋_GB2312" w:eastAsia="仿宋_GB2312"/>
          <w:sz w:val="32"/>
          <w:szCs w:val="32"/>
        </w:rPr>
        <w:t>/</w:t>
      </w:r>
      <w:r>
        <w:rPr>
          <w:rFonts w:hint="eastAsia" w:ascii="仿宋_GB2312" w:eastAsia="仿宋_GB2312"/>
          <w:sz w:val="32"/>
          <w:szCs w:val="32"/>
        </w:rPr>
        <w:t>减</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无</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sz w:val="32"/>
          <w:szCs w:val="32"/>
        </w:rPr>
        <w:t>开支内容包括：</w:t>
      </w:r>
      <w:r>
        <w:rPr>
          <w:rFonts w:hint="eastAsia" w:ascii="仿宋_GB2312" w:eastAsia="仿宋_GB2312"/>
          <w:sz w:val="32"/>
          <w:szCs w:val="32"/>
          <w:lang w:eastAsia="zh-CN"/>
        </w:rPr>
        <w:t>无。</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公务用车购置及运行维护费支出决算比202</w:t>
      </w:r>
      <w:r>
        <w:rPr>
          <w:rFonts w:hint="eastAsia" w:ascii="仿宋_GB2312" w:eastAsia="仿宋_GB2312"/>
          <w:sz w:val="32"/>
          <w:szCs w:val="32"/>
          <w:lang w:val="en-US" w:eastAsia="zh-CN"/>
        </w:rPr>
        <w:t>3</w:t>
      </w:r>
      <w:r>
        <w:rPr>
          <w:rFonts w:hint="eastAsia" w:ascii="仿宋_GB2312" w:eastAsia="仿宋_GB2312"/>
          <w:sz w:val="32"/>
          <w:szCs w:val="32"/>
        </w:rPr>
        <w:t>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无</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（具体工作）等所需的公务用车燃料费、维修费、过路过桥费、保险费等支出。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 w:hAnsi="仿宋" w:eastAsia="仿宋"/>
          <w:b/>
          <w:sz w:val="32"/>
          <w:szCs w:val="32"/>
          <w:lang w:val="en-US" w:eastAsia="zh-CN"/>
        </w:rPr>
        <w:t>0.56</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Fonts w:hint="eastAsia" w:ascii="仿宋_GB2312" w:hAnsi="仿宋_GB2312" w:eastAsia="仿宋_GB2312" w:cs="仿宋_GB2312"/>
          <w:sz w:val="32"/>
          <w:szCs w:val="32"/>
        </w:rPr>
        <w:t>43.02</w:t>
      </w:r>
      <w:r>
        <w:rPr>
          <w:rFonts w:hint="eastAsia" w:ascii="仿宋_GB2312" w:hAnsi="仿宋_GB2312" w:eastAsia="仿宋_GB2312" w:cs="仿宋_GB2312"/>
          <w:color w:val="auto"/>
          <w:kern w:val="2"/>
          <w:sz w:val="32"/>
          <w:szCs w:val="32"/>
          <w:highlight w:val="none"/>
          <w:lang w:val="en-US" w:eastAsia="zh-CN" w:bidi="ar-SA"/>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公务接待费支出决算比202</w:t>
      </w:r>
      <w:r>
        <w:rPr>
          <w:rFonts w:hint="eastAsia" w:ascii="仿宋_GB2312" w:eastAsia="仿宋_GB2312"/>
          <w:sz w:val="32"/>
          <w:szCs w:val="32"/>
          <w:lang w:val="en-US" w:eastAsia="zh-CN"/>
        </w:rPr>
        <w:t>3</w:t>
      </w:r>
      <w:r>
        <w:rPr>
          <w:rFonts w:hint="eastAsia" w:ascii="仿宋_GB2312" w:eastAsia="仿宋_GB2312"/>
          <w:sz w:val="32"/>
          <w:szCs w:val="32"/>
        </w:rPr>
        <w:t>年度</w:t>
      </w:r>
      <w:r>
        <w:rPr>
          <w:rFonts w:hint="eastAsia" w:ascii="仿宋" w:hAnsi="仿宋" w:eastAsia="仿宋"/>
          <w:sz w:val="32"/>
          <w:szCs w:val="32"/>
          <w:lang w:eastAsia="zh-CN"/>
        </w:rPr>
        <w:t>减少</w:t>
      </w:r>
      <w:r>
        <w:rPr>
          <w:rFonts w:hint="eastAsia" w:ascii="仿宋" w:hAnsi="仿宋" w:eastAsia="仿宋"/>
          <w:sz w:val="32"/>
          <w:szCs w:val="32"/>
          <w:lang w:val="en-US" w:eastAsia="zh-CN"/>
        </w:rPr>
        <w:t>0.62</w:t>
      </w:r>
      <w:r>
        <w:rPr>
          <w:rFonts w:hint="eastAsia"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52</w:t>
      </w:r>
      <w:r>
        <w:rPr>
          <w:rFonts w:hint="eastAsia" w:ascii="仿宋" w:hAnsi="仿宋" w:eastAsia="仿宋"/>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公务接待次数比上年度减少</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0.56</w:t>
      </w:r>
      <w:r>
        <w:rPr>
          <w:rFonts w:hint="eastAsia" w:ascii="仿宋_GB2312" w:eastAsia="仿宋_GB2312"/>
          <w:sz w:val="32"/>
          <w:szCs w:val="32"/>
        </w:rPr>
        <w:t>万元，主要用</w:t>
      </w:r>
      <w:r>
        <w:rPr>
          <w:rFonts w:hint="eastAsia" w:ascii="仿宋_GB2312" w:eastAsia="仿宋_GB2312"/>
          <w:sz w:val="32"/>
          <w:szCs w:val="32"/>
          <w:lang w:eastAsia="zh-CN"/>
        </w:rPr>
        <w:t>无</w:t>
      </w:r>
      <w:r>
        <w:rPr>
          <w:rFonts w:hint="eastAsia" w:ascii="仿宋_GB2312" w:eastAsia="仿宋_GB2312"/>
          <w:sz w:val="32"/>
          <w:szCs w:val="32"/>
        </w:rPr>
        <w:t>(执行公务、开展业务活动开支的交通费、住宿费、用餐费等)。国内公务接待</w:t>
      </w:r>
      <w:r>
        <w:rPr>
          <w:rFonts w:hint="eastAsia" w:ascii="仿宋_GB2312" w:eastAsia="仿宋_GB2312"/>
          <w:sz w:val="32"/>
          <w:szCs w:val="32"/>
          <w:lang w:val="en-US" w:eastAsia="zh-CN"/>
        </w:rPr>
        <w:t>6</w:t>
      </w:r>
      <w:r>
        <w:rPr>
          <w:rFonts w:hint="eastAsia" w:ascii="仿宋_GB2312" w:eastAsia="仿宋_GB2312"/>
          <w:sz w:val="32"/>
          <w:szCs w:val="32"/>
        </w:rPr>
        <w:t>批次，</w:t>
      </w:r>
      <w:r>
        <w:rPr>
          <w:rFonts w:hint="eastAsia" w:ascii="仿宋_GB2312" w:eastAsia="仿宋_GB2312"/>
          <w:sz w:val="32"/>
          <w:szCs w:val="32"/>
          <w:lang w:val="en-US" w:eastAsia="zh-CN"/>
        </w:rPr>
        <w:t>56</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0.56</w:t>
      </w:r>
      <w:r>
        <w:rPr>
          <w:rFonts w:hint="eastAsia" w:ascii="仿宋_GB2312" w:eastAsia="仿宋_GB2312"/>
          <w:sz w:val="32"/>
          <w:szCs w:val="32"/>
        </w:rPr>
        <w:t>万元，具体内容包括：</w:t>
      </w:r>
      <w:r>
        <w:rPr>
          <w:rFonts w:hint="eastAsia" w:ascii="仿宋_GB2312" w:eastAsia="仿宋_GB2312"/>
          <w:color w:val="auto"/>
          <w:sz w:val="32"/>
          <w:szCs w:val="32"/>
          <w:highlight w:val="none"/>
          <w:lang w:eastAsia="zh-CN"/>
        </w:rPr>
        <w:t>上级项目检查</w:t>
      </w:r>
      <w:r>
        <w:rPr>
          <w:rFonts w:hint="eastAsia" w:ascii="仿宋_GB2312" w:eastAsia="仿宋_GB2312"/>
          <w:color w:val="auto"/>
          <w:sz w:val="32"/>
          <w:szCs w:val="32"/>
          <w:highlight w:val="none"/>
          <w:lang w:val="en-US" w:eastAsia="zh-CN"/>
        </w:rPr>
        <w:t>0.3万元</w:t>
      </w:r>
      <w:r>
        <w:rPr>
          <w:rFonts w:hint="eastAsia" w:ascii="仿宋_GB2312" w:eastAsia="仿宋_GB2312"/>
          <w:color w:val="auto"/>
          <w:sz w:val="32"/>
          <w:szCs w:val="32"/>
          <w:highlight w:val="none"/>
          <w:lang w:eastAsia="zh-CN"/>
        </w:rPr>
        <w:t>，安全检查</w:t>
      </w:r>
      <w:r>
        <w:rPr>
          <w:rFonts w:hint="eastAsia" w:ascii="仿宋_GB2312" w:eastAsia="仿宋_GB2312"/>
          <w:color w:val="auto"/>
          <w:sz w:val="32"/>
          <w:szCs w:val="32"/>
          <w:highlight w:val="none"/>
          <w:lang w:val="en-US" w:eastAsia="zh-CN"/>
        </w:rPr>
        <w:t>0.26万元</w:t>
      </w:r>
      <w:r>
        <w:rPr>
          <w:rFonts w:hint="eastAsia" w:ascii="仿宋_GB2312" w:eastAsia="仿宋_GB2312"/>
          <w:color w:val="auto"/>
          <w:sz w:val="32"/>
          <w:szCs w:val="32"/>
          <w:highlight w:val="none"/>
        </w:rPr>
        <w:t>。</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万元，主要用于接待</w:t>
      </w:r>
      <w:r>
        <w:rPr>
          <w:rFonts w:hint="eastAsia" w:ascii="仿宋_GB2312" w:eastAsia="仿宋_GB2312"/>
          <w:sz w:val="32"/>
          <w:szCs w:val="32"/>
          <w:lang w:eastAsia="zh-CN"/>
        </w:rPr>
        <w:t>无</w:t>
      </w:r>
      <w:r>
        <w:rPr>
          <w:rFonts w:hint="eastAsia" w:ascii="仿宋_GB2312" w:eastAsia="仿宋_GB2312"/>
          <w:sz w:val="32"/>
          <w:szCs w:val="32"/>
        </w:rPr>
        <w:t>。外事接待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Style w:val="29"/>
          <w:rFonts w:ascii="黑体" w:hAnsi="黑体" w:eastAsia="黑体"/>
        </w:rPr>
      </w:pPr>
      <w:bookmarkStart w:id="62" w:name="_Toc10588"/>
      <w:r>
        <w:rPr>
          <w:rFonts w:hint="eastAsia" w:ascii="黑体" w:eastAsia="黑体"/>
          <w:sz w:val="32"/>
          <w:szCs w:val="32"/>
        </w:rPr>
        <w:t>八、</w:t>
      </w:r>
      <w:r>
        <w:rPr>
          <w:rStyle w:val="29"/>
          <w:rFonts w:hint="eastAsia" w:ascii="黑体" w:hAnsi="黑体" w:eastAsia="黑体"/>
          <w:b w:val="0"/>
        </w:rPr>
        <w:t>政府性基金预算支出决算情况说明</w:t>
      </w:r>
      <w:bookmarkEnd w:id="60"/>
      <w:bookmarkEnd w:id="61"/>
      <w:bookmarkEnd w:id="62"/>
    </w:p>
    <w:p>
      <w:pPr>
        <w:spacing w:line="600" w:lineRule="exact"/>
        <w:ind w:firstLine="64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年度政府性基金预算财政拨款支出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63" w:name="_Toc404"/>
      <w:bookmarkStart w:id="64" w:name="_Toc15377219"/>
      <w:bookmarkStart w:id="65" w:name="_Toc15396611"/>
      <w:r>
        <w:rPr>
          <w:rStyle w:val="29"/>
          <w:rFonts w:hint="eastAsia" w:ascii="黑体" w:hAnsi="黑体" w:eastAsia="黑体"/>
          <w:b w:val="0"/>
        </w:rPr>
        <w:t>国有资本经营预算支出决算情况说明</w:t>
      </w:r>
      <w:bookmarkEnd w:id="63"/>
      <w:bookmarkEnd w:id="64"/>
      <w:bookmarkEnd w:id="65"/>
    </w:p>
    <w:p>
      <w:pPr>
        <w:spacing w:line="60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66" w:name="_Toc15396612"/>
      <w:bookmarkStart w:id="67" w:name="_Toc15377221"/>
      <w:bookmarkStart w:id="68" w:name="_Toc24672"/>
      <w:r>
        <w:rPr>
          <w:rStyle w:val="29"/>
          <w:rFonts w:hint="eastAsia" w:ascii="黑体" w:hAnsi="黑体" w:eastAsia="黑体"/>
          <w:b w:val="0"/>
        </w:rPr>
        <w:t>其他重要事项的情况说明</w:t>
      </w:r>
      <w:bookmarkEnd w:id="66"/>
      <w:bookmarkEnd w:id="67"/>
      <w:bookmarkEnd w:id="68"/>
    </w:p>
    <w:p>
      <w:pPr>
        <w:spacing w:line="600" w:lineRule="exact"/>
        <w:ind w:firstLine="643" w:firstLineChars="200"/>
        <w:outlineLvl w:val="2"/>
        <w:rPr>
          <w:rFonts w:ascii="仿宋" w:hAnsi="仿宋" w:eastAsia="仿宋"/>
          <w:sz w:val="32"/>
          <w:szCs w:val="32"/>
        </w:rPr>
      </w:pPr>
      <w:bookmarkStart w:id="69" w:name="_Toc15377222"/>
      <w:r>
        <w:rPr>
          <w:rFonts w:hint="eastAsia" w:ascii="仿宋" w:hAnsi="仿宋" w:eastAsia="仿宋"/>
          <w:b/>
          <w:sz w:val="32"/>
          <w:szCs w:val="32"/>
        </w:rPr>
        <w:t>（一）机关运行经费支出情况</w:t>
      </w:r>
      <w:bookmarkEnd w:id="69"/>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w:t>
      </w:r>
      <w:r>
        <w:rPr>
          <w:rFonts w:ascii="仿宋_GB2312" w:eastAsia="仿宋_GB2312"/>
          <w:b/>
          <w:sz w:val="32"/>
          <w:szCs w:val="32"/>
        </w:rPr>
        <w:t>乐山市金口河区交通局（本级）</w:t>
      </w:r>
      <w:r>
        <w:rPr>
          <w:rFonts w:hint="eastAsia" w:ascii="仿宋_GB2312" w:eastAsia="仿宋_GB2312"/>
          <w:sz w:val="32"/>
          <w:szCs w:val="32"/>
        </w:rPr>
        <w:t>机关运行经费支出</w:t>
      </w:r>
      <w:r>
        <w:rPr>
          <w:rFonts w:hint="eastAsia" w:ascii="仿宋_GB2312" w:hAnsi="仿宋_GB2312" w:eastAsia="仿宋_GB2312" w:cs="仿宋_GB2312"/>
          <w:sz w:val="32"/>
          <w:szCs w:val="32"/>
        </w:rPr>
        <w:t>23.43</w:t>
      </w:r>
      <w:r>
        <w:rPr>
          <w:rFonts w:hint="eastAsia" w:ascii="仿宋_GB2312" w:eastAsia="仿宋_GB2312"/>
          <w:sz w:val="32"/>
          <w:szCs w:val="32"/>
        </w:rPr>
        <w:t>万元，比202</w:t>
      </w:r>
      <w:r>
        <w:rPr>
          <w:rFonts w:hint="eastAsia" w:ascii="仿宋_GB2312" w:eastAsia="仿宋_GB2312"/>
          <w:sz w:val="32"/>
          <w:szCs w:val="32"/>
          <w:lang w:val="en-US" w:eastAsia="zh-CN"/>
        </w:rPr>
        <w:t>3</w:t>
      </w:r>
      <w:r>
        <w:rPr>
          <w:rFonts w:hint="eastAsia" w:ascii="仿宋_GB2312" w:eastAsia="仿宋_GB2312"/>
          <w:sz w:val="32"/>
          <w:szCs w:val="32"/>
        </w:rPr>
        <w:t>年度减少</w:t>
      </w:r>
      <w:r>
        <w:rPr>
          <w:rFonts w:hint="eastAsia" w:ascii="仿宋_GB2312" w:eastAsia="仿宋_GB2312"/>
          <w:sz w:val="32"/>
          <w:szCs w:val="32"/>
          <w:lang w:val="en-US" w:eastAsia="zh-CN"/>
        </w:rPr>
        <w:t>0.19</w:t>
      </w:r>
      <w:r>
        <w:rPr>
          <w:rFonts w:hint="eastAsia" w:ascii="仿宋_GB2312" w:eastAsia="仿宋_GB2312"/>
          <w:sz w:val="32"/>
          <w:szCs w:val="32"/>
        </w:rPr>
        <w:t>万元，下降</w:t>
      </w:r>
      <w:r>
        <w:rPr>
          <w:rFonts w:hint="eastAsia" w:ascii="仿宋_GB2312" w:eastAsia="仿宋_GB2312"/>
          <w:sz w:val="32"/>
          <w:szCs w:val="32"/>
          <w:lang w:val="en-US" w:eastAsia="zh-CN"/>
        </w:rPr>
        <w:t>0.8</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办公经费支出减少</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0" w:name="_Toc15377223"/>
      <w:r>
        <w:rPr>
          <w:rFonts w:hint="eastAsia" w:ascii="仿宋" w:hAnsi="仿宋" w:eastAsia="仿宋"/>
          <w:b/>
          <w:sz w:val="32"/>
          <w:szCs w:val="32"/>
        </w:rPr>
        <w:t>（二）政府采购支出情况</w:t>
      </w:r>
      <w:bookmarkEnd w:id="70"/>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w:t>
      </w:r>
      <w:r>
        <w:rPr>
          <w:rFonts w:ascii="仿宋_GB2312" w:eastAsia="仿宋_GB2312"/>
          <w:b/>
          <w:sz w:val="32"/>
          <w:szCs w:val="32"/>
        </w:rPr>
        <w:t>乐山市金口河区交通局（本级）</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w:t>
      </w:r>
      <w:r>
        <w:rPr>
          <w:rFonts w:ascii="仿宋_GB2312" w:eastAsia="仿宋_GB2312"/>
          <w:sz w:val="32"/>
          <w:szCs w:val="32"/>
        </w:rPr>
        <w:t>…</w:t>
      </w:r>
      <w:r>
        <w:rPr>
          <w:rFonts w:hint="eastAsia" w:ascii="仿宋_GB2312" w:eastAsia="仿宋_GB2312"/>
          <w:sz w:val="32"/>
          <w:szCs w:val="32"/>
        </w:rPr>
        <w:t>（具体工作）。授予中小企业合同金额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1" w:name="_Toc15377224"/>
      <w:r>
        <w:rPr>
          <w:rFonts w:hint="eastAsia" w:ascii="仿宋" w:hAnsi="仿宋" w:eastAsia="仿宋"/>
          <w:b/>
          <w:sz w:val="32"/>
          <w:szCs w:val="32"/>
        </w:rPr>
        <w:t>（三）国有资产占有使用情况</w:t>
      </w:r>
      <w:bookmarkEnd w:id="71"/>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w:t>
      </w:r>
      <w:r>
        <w:rPr>
          <w:rFonts w:hint="eastAsia" w:ascii="仿宋_GB2312" w:eastAsia="仿宋_GB2312"/>
          <w:sz w:val="32"/>
          <w:szCs w:val="32"/>
          <w:lang w:val="en-US" w:eastAsia="zh-CN"/>
        </w:rPr>
        <w:t>4</w:t>
      </w:r>
      <w:r>
        <w:rPr>
          <w:rFonts w:hint="eastAsia" w:ascii="仿宋_GB2312" w:eastAsia="仿宋_GB2312"/>
          <w:sz w:val="32"/>
          <w:szCs w:val="32"/>
        </w:rPr>
        <w:t>年</w:t>
      </w:r>
      <w:bookmarkStart w:id="107" w:name="_GoBack"/>
      <w:bookmarkEnd w:id="107"/>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乐山市金口河区交通局（本级）</w:t>
      </w:r>
      <w:r>
        <w:rPr>
          <w:rFonts w:hint="eastAsia" w:ascii="仿宋_GB2312" w:eastAsia="仿宋_GB2312"/>
          <w:sz w:val="32"/>
          <w:szCs w:val="32"/>
        </w:rPr>
        <w:t>共有车辆</w:t>
      </w:r>
      <w:r>
        <w:rPr>
          <w:rFonts w:hint="eastAsia" w:ascii="仿宋_GB2312" w:eastAsia="仿宋_GB2312"/>
          <w:b/>
          <w:sz w:val="32"/>
          <w:szCs w:val="32"/>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辆，其他用车主要是用于</w:t>
      </w:r>
      <w:r>
        <w:rPr>
          <w:rFonts w:hint="eastAsia" w:ascii="仿宋_GB2312" w:eastAsia="仿宋_GB2312"/>
          <w:sz w:val="32"/>
          <w:szCs w:val="32"/>
          <w:lang w:eastAsia="zh-CN"/>
        </w:rPr>
        <w:t>无</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表，按单位决算报表填报数据罗列车辆情况。）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rPr>
          <w:rFonts w:hint="eastAsia" w:ascii="仿宋_GB2312" w:hAnsi="Times New Roman" w:eastAsia="仿宋_GB2312" w:cs="Times New Roman"/>
          <w:color w:val="auto"/>
          <w:sz w:val="32"/>
          <w:szCs w:val="32"/>
          <w:highlight w:val="none"/>
          <w:lang w:val="en-US" w:eastAsia="zh-CN"/>
        </w:rPr>
      </w:pPr>
      <w:r>
        <w:rPr>
          <w:rFonts w:hint="eastAsia" w:ascii="仿宋_GB2312" w:hAnsi="Times New Roman" w:eastAsia="仿宋_GB2312" w:cs="Times New Roman"/>
          <w:color w:val="auto"/>
          <w:sz w:val="32"/>
          <w:szCs w:val="32"/>
          <w:highlight w:val="none"/>
          <w:lang w:eastAsia="zh-CN"/>
        </w:rPr>
        <w:t>根据预算绩效管理要求，本单位在</w:t>
      </w:r>
      <w:r>
        <w:rPr>
          <w:rFonts w:hint="eastAsia" w:ascii="仿宋_GB2312" w:hAnsi="Times New Roman" w:eastAsia="仿宋_GB2312" w:cs="Times New Roman"/>
          <w:color w:val="auto"/>
          <w:sz w:val="32"/>
          <w:szCs w:val="32"/>
          <w:highlight w:val="none"/>
          <w:lang w:val="en-US" w:eastAsia="zh-CN"/>
        </w:rPr>
        <w:t>2024年度</w:t>
      </w:r>
      <w:r>
        <w:rPr>
          <w:rFonts w:hint="eastAsia" w:ascii="仿宋_GB2312" w:hAnsi="Times New Roman" w:eastAsia="仿宋_GB2312" w:cs="Times New Roman"/>
          <w:color w:val="auto"/>
          <w:sz w:val="32"/>
          <w:szCs w:val="32"/>
          <w:highlight w:val="none"/>
          <w:lang w:eastAsia="zh-CN"/>
        </w:rPr>
        <w:t>预算编制阶段，组织对交通行业安全工作监管经费、质量监督服务中心工作经费、脱贫攻坚驻村工作队经费、重大项目协调经费、交通运输局聘任制公务员-工程师、交通基本建设PPP可用性服务费等</w:t>
      </w:r>
      <w:r>
        <w:rPr>
          <w:rFonts w:hint="eastAsia" w:ascii="仿宋_GB2312" w:hAnsi="Times New Roman" w:eastAsia="仿宋_GB2312" w:cs="Times New Roman"/>
          <w:color w:val="auto"/>
          <w:sz w:val="32"/>
          <w:szCs w:val="32"/>
          <w:highlight w:val="none"/>
          <w:lang w:val="en-US" w:eastAsia="zh-CN"/>
        </w:rPr>
        <w:t>6个项目</w:t>
      </w:r>
      <w:r>
        <w:rPr>
          <w:rFonts w:hint="eastAsia" w:ascii="仿宋_GB2312" w:hAnsi="Times New Roman" w:eastAsia="仿宋_GB2312" w:cs="Times New Roman"/>
          <w:color w:val="auto"/>
          <w:sz w:val="32"/>
          <w:szCs w:val="32"/>
          <w:highlight w:val="none"/>
          <w:lang w:eastAsia="zh-CN"/>
        </w:rPr>
        <w:t>开展了预算事前绩效评估，对</w:t>
      </w: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eastAsia="zh-CN"/>
        </w:rPr>
        <w:t>个项目编制了绩效目标，预算执行过程中，选取</w:t>
      </w: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eastAsia="zh-CN"/>
        </w:rPr>
        <w:t>个项目开展绩效监控，组织对</w:t>
      </w:r>
      <w:r>
        <w:rPr>
          <w:rFonts w:hint="eastAsia" w:ascii="仿宋_GB2312" w:hAnsi="Times New Roman" w:eastAsia="仿宋_GB2312" w:cs="Times New Roman"/>
          <w:color w:val="auto"/>
          <w:sz w:val="32"/>
          <w:szCs w:val="32"/>
          <w:highlight w:val="none"/>
          <w:lang w:val="en-US" w:eastAsia="zh-CN"/>
        </w:rPr>
        <w:t>6个项目开展绩效自评，绩效自评表详见第四部分附件。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72" w:name="_Toc15251"/>
      <w:bookmarkStart w:id="73" w:name="_Toc15377225"/>
      <w:bookmarkStart w:id="74" w:name="_Toc15396613"/>
      <w:r>
        <w:rPr>
          <w:rFonts w:hint="eastAsia" w:ascii="黑体" w:hAnsi="黑体" w:eastAsia="黑体"/>
          <w:sz w:val="44"/>
          <w:szCs w:val="44"/>
        </w:rPr>
        <w:t>名</w:t>
      </w:r>
      <w:r>
        <w:rPr>
          <w:rStyle w:val="28"/>
          <w:rFonts w:hint="eastAsia" w:ascii="黑体" w:hAnsi="黑体" w:eastAsia="黑体"/>
          <w:b w:val="0"/>
        </w:rPr>
        <w:t>词解释</w:t>
      </w:r>
      <w:bookmarkEnd w:id="72"/>
      <w:bookmarkEnd w:id="73"/>
      <w:bookmarkEnd w:id="74"/>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其他收入：指单位取得的除上述收入以外的各项收入。主要是</w:t>
      </w:r>
      <w:r>
        <w:rPr>
          <w:rFonts w:hint="eastAsia" w:ascii="仿宋_GB2312" w:eastAsia="仿宋_GB2312"/>
          <w:color w:val="auto"/>
          <w:sz w:val="32"/>
          <w:szCs w:val="32"/>
          <w:lang w:eastAsia="zh-CN"/>
        </w:rPr>
        <w:t>利息收入</w:t>
      </w:r>
      <w:r>
        <w:rPr>
          <w:rFonts w:hint="eastAsia" w:ascii="仿宋_GB2312" w:eastAsia="仿宋_GB2312"/>
          <w:color w:val="auto"/>
          <w:sz w:val="32"/>
          <w:szCs w:val="32"/>
        </w:rPr>
        <w:t>（收入类型）等。</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6</w:t>
      </w:r>
      <w:r>
        <w:rPr>
          <w:rFonts w:ascii="仿宋_GB2312" w:eastAsia="仿宋_GB2312"/>
          <w:color w:val="auto"/>
          <w:sz w:val="32"/>
          <w:szCs w:val="32"/>
          <w:highlight w:val="none"/>
        </w:rPr>
        <w:t>.</w:t>
      </w:r>
      <w:r>
        <w:rPr>
          <w:rFonts w:hint="eastAsia" w:ascii="仿宋_GB2312" w:eastAsia="仿宋_GB2312"/>
          <w:color w:val="auto"/>
          <w:sz w:val="32"/>
          <w:szCs w:val="32"/>
          <w:highlight w:val="none"/>
        </w:rPr>
        <w:t>社会保障和就业（类）</w:t>
      </w:r>
      <w:r>
        <w:rPr>
          <w:rFonts w:hint="eastAsia" w:ascii="仿宋_GB2312" w:eastAsia="仿宋_GB2312"/>
          <w:color w:val="auto"/>
          <w:sz w:val="32"/>
          <w:szCs w:val="32"/>
          <w:highlight w:val="none"/>
          <w:lang w:val="en-US" w:eastAsia="zh-CN"/>
        </w:rPr>
        <w:t>行政事业单位养老支出</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机关事业单位基本养老保险缴费支出</w:t>
      </w:r>
      <w:r>
        <w:rPr>
          <w:rFonts w:hint="eastAsia" w:ascii="仿宋_GB2312" w:eastAsia="仿宋_GB2312"/>
          <w:color w:val="auto"/>
          <w:sz w:val="32"/>
          <w:szCs w:val="32"/>
          <w:highlight w:val="none"/>
        </w:rPr>
        <w:t>（项）:</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机关事业单位</w:t>
      </w:r>
      <w:r>
        <w:rPr>
          <w:rFonts w:hint="eastAsia" w:ascii="仿宋_GB2312" w:eastAsia="仿宋_GB2312"/>
          <w:color w:val="auto"/>
          <w:sz w:val="32"/>
          <w:szCs w:val="32"/>
          <w:highlight w:val="none"/>
          <w:lang w:val="en-US" w:eastAsia="zh-CN"/>
        </w:rPr>
        <w:t>实施养老保险制度由单位缴纳的</w:t>
      </w:r>
      <w:r>
        <w:rPr>
          <w:rFonts w:hint="eastAsia" w:ascii="仿宋_GB2312" w:eastAsia="仿宋_GB2312"/>
          <w:color w:val="auto"/>
          <w:sz w:val="32"/>
          <w:szCs w:val="32"/>
          <w:highlight w:val="none"/>
        </w:rPr>
        <w:t>基本养老保险费支出</w:t>
      </w:r>
      <w:r>
        <w:rPr>
          <w:rFonts w:hint="eastAsia" w:ascii="仿宋_GB2312" w:eastAsia="仿宋_GB2312"/>
          <w:color w:val="auto"/>
          <w:sz w:val="32"/>
          <w:szCs w:val="32"/>
          <w:highlight w:val="none"/>
          <w:lang w:eastAsia="zh-CN"/>
        </w:rPr>
        <w:t>；社会保障和就业（类）</w:t>
      </w:r>
      <w:r>
        <w:rPr>
          <w:rFonts w:hint="eastAsia" w:ascii="仿宋_GB2312" w:eastAsia="仿宋_GB2312"/>
          <w:color w:val="auto"/>
          <w:sz w:val="32"/>
          <w:szCs w:val="32"/>
          <w:highlight w:val="none"/>
          <w:lang w:val="en-US" w:eastAsia="zh-CN"/>
        </w:rPr>
        <w:t>行政事业单位养老支出</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机关事业单位职业年金缴费支出</w:t>
      </w:r>
      <w:r>
        <w:rPr>
          <w:rFonts w:hint="eastAsia" w:ascii="仿宋_GB2312" w:eastAsia="仿宋_GB2312"/>
          <w:color w:val="auto"/>
          <w:sz w:val="32"/>
          <w:szCs w:val="32"/>
          <w:highlight w:val="none"/>
          <w:lang w:eastAsia="zh-CN"/>
        </w:rPr>
        <w:t>（项）:</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机关事业单位</w:t>
      </w:r>
      <w:r>
        <w:rPr>
          <w:rFonts w:hint="eastAsia" w:ascii="仿宋_GB2312" w:eastAsia="仿宋_GB2312"/>
          <w:color w:val="auto"/>
          <w:sz w:val="32"/>
          <w:szCs w:val="32"/>
          <w:highlight w:val="none"/>
          <w:lang w:val="en-US" w:eastAsia="zh-CN"/>
        </w:rPr>
        <w:t>实施养老保险制度由单位缴纳的职业年金</w:t>
      </w:r>
      <w:r>
        <w:rPr>
          <w:rFonts w:hint="eastAsia" w:ascii="仿宋_GB2312" w:eastAsia="仿宋_GB2312"/>
          <w:color w:val="auto"/>
          <w:sz w:val="32"/>
          <w:szCs w:val="32"/>
          <w:highlight w:val="none"/>
        </w:rPr>
        <w:t>支出: 社会保障和就业（类）</w:t>
      </w:r>
      <w:r>
        <w:rPr>
          <w:rFonts w:hint="eastAsia" w:ascii="仿宋_GB2312" w:eastAsia="仿宋_GB2312"/>
          <w:color w:val="auto"/>
          <w:sz w:val="32"/>
          <w:szCs w:val="32"/>
          <w:highlight w:val="none"/>
          <w:lang w:val="en-US" w:eastAsia="zh-CN"/>
        </w:rPr>
        <w:t>行政事业单位养老支出</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其他行政事业单位养老支出</w:t>
      </w:r>
      <w:r>
        <w:rPr>
          <w:rFonts w:hint="eastAsia" w:ascii="仿宋_GB2312" w:eastAsia="仿宋_GB2312"/>
          <w:color w:val="auto"/>
          <w:sz w:val="32"/>
          <w:szCs w:val="32"/>
          <w:highlight w:val="none"/>
        </w:rPr>
        <w:t xml:space="preserve">（项）: </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支其他</w:t>
      </w:r>
      <w:r>
        <w:rPr>
          <w:rFonts w:hint="eastAsia" w:ascii="仿宋_GB2312" w:eastAsia="仿宋_GB2312"/>
          <w:color w:val="auto"/>
          <w:sz w:val="32"/>
          <w:szCs w:val="32"/>
          <w:highlight w:val="none"/>
          <w:lang w:val="en-US" w:eastAsia="zh-CN"/>
        </w:rPr>
        <w:t>用于</w:t>
      </w:r>
      <w:r>
        <w:rPr>
          <w:rFonts w:hint="eastAsia" w:ascii="仿宋_GB2312" w:eastAsia="仿宋_GB2312"/>
          <w:color w:val="auto"/>
          <w:sz w:val="32"/>
          <w:szCs w:val="32"/>
          <w:highlight w:val="none"/>
        </w:rPr>
        <w:t>行政事业单位养老</w:t>
      </w:r>
      <w:r>
        <w:rPr>
          <w:rFonts w:hint="eastAsia" w:ascii="仿宋_GB2312" w:eastAsia="仿宋_GB2312"/>
          <w:color w:val="auto"/>
          <w:sz w:val="32"/>
          <w:szCs w:val="32"/>
          <w:highlight w:val="none"/>
          <w:lang w:val="en-US" w:eastAsia="zh-CN"/>
        </w:rPr>
        <w:t>方面</w:t>
      </w:r>
      <w:r>
        <w:rPr>
          <w:rFonts w:hint="eastAsia" w:ascii="仿宋_GB2312" w:eastAsia="仿宋_GB2312"/>
          <w:color w:val="auto"/>
          <w:sz w:val="32"/>
          <w:szCs w:val="32"/>
          <w:highlight w:val="none"/>
        </w:rPr>
        <w:t xml:space="preserve">支出 </w:t>
      </w:r>
      <w:r>
        <w:rPr>
          <w:rFonts w:hint="eastAsia" w:ascii="仿宋_GB2312" w:eastAsia="仿宋_GB2312"/>
          <w:color w:val="auto"/>
          <w:sz w:val="32"/>
          <w:szCs w:val="32"/>
          <w:highlight w:val="none"/>
          <w:lang w:eastAsia="zh-CN"/>
        </w:rPr>
        <w:t>；社会保障和就业（类）</w:t>
      </w:r>
      <w:r>
        <w:rPr>
          <w:rFonts w:hint="eastAsia" w:ascii="仿宋_GB2312" w:eastAsia="仿宋_GB2312"/>
          <w:color w:val="auto"/>
          <w:sz w:val="32"/>
          <w:szCs w:val="32"/>
          <w:highlight w:val="none"/>
          <w:lang w:val="en-US" w:eastAsia="zh-CN"/>
        </w:rPr>
        <w:t>抚恤</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死亡抚恤</w:t>
      </w:r>
      <w:r>
        <w:rPr>
          <w:rFonts w:hint="eastAsia" w:ascii="仿宋_GB2312" w:eastAsia="仿宋_GB2312"/>
          <w:color w:val="auto"/>
          <w:sz w:val="32"/>
          <w:szCs w:val="32"/>
          <w:highlight w:val="none"/>
          <w:lang w:eastAsia="zh-CN"/>
        </w:rPr>
        <w:t>（项）</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指按规定用于烈士和牺牲、病故人员家属的一次性和定期抚恤金、丧葬补助费以及烈士褒扬金</w:t>
      </w:r>
      <w:r>
        <w:rPr>
          <w:rFonts w:hint="eastAsia" w:ascii="仿宋_GB2312" w:eastAsia="仿宋_GB2312"/>
          <w:color w:val="auto"/>
          <w:sz w:val="32"/>
          <w:szCs w:val="32"/>
          <w:highlight w:val="none"/>
          <w:lang w:eastAsia="zh-CN"/>
        </w:rPr>
        <w:t>；社会保障和就业（类）</w:t>
      </w:r>
      <w:r>
        <w:rPr>
          <w:rFonts w:hint="eastAsia" w:ascii="仿宋_GB2312" w:eastAsia="仿宋_GB2312"/>
          <w:color w:val="auto"/>
          <w:sz w:val="32"/>
          <w:szCs w:val="32"/>
          <w:highlight w:val="none"/>
          <w:lang w:val="en-US" w:eastAsia="zh-CN"/>
        </w:rPr>
        <w:t>残疾人事业</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残疾人就业</w:t>
      </w:r>
      <w:r>
        <w:rPr>
          <w:rFonts w:hint="eastAsia" w:ascii="仿宋_GB2312" w:eastAsia="仿宋_GB2312"/>
          <w:color w:val="auto"/>
          <w:sz w:val="32"/>
          <w:szCs w:val="32"/>
          <w:highlight w:val="none"/>
          <w:lang w:eastAsia="zh-CN"/>
        </w:rPr>
        <w:t xml:space="preserve">（项）: </w:t>
      </w:r>
      <w:r>
        <w:rPr>
          <w:rFonts w:hint="eastAsia" w:ascii="仿宋_GB2312" w:eastAsia="仿宋_GB2312"/>
          <w:color w:val="auto"/>
          <w:sz w:val="32"/>
          <w:szCs w:val="32"/>
          <w:highlight w:val="none"/>
          <w:lang w:val="en-US" w:eastAsia="zh-CN"/>
        </w:rPr>
        <w:t>指残疾人联合会用于残疾人就业方面的支出；社会保障和就业（类）其他社会保障和就业支出（款）（项）</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其他</w:t>
      </w:r>
      <w:r>
        <w:rPr>
          <w:rFonts w:hint="eastAsia" w:ascii="仿宋_GB2312" w:eastAsia="仿宋_GB2312"/>
          <w:color w:val="auto"/>
          <w:sz w:val="32"/>
          <w:szCs w:val="32"/>
          <w:highlight w:val="none"/>
          <w:lang w:val="en-US" w:eastAsia="zh-CN"/>
        </w:rPr>
        <w:t>用于</w:t>
      </w:r>
      <w:r>
        <w:rPr>
          <w:rFonts w:hint="eastAsia" w:ascii="仿宋_GB2312" w:eastAsia="仿宋_GB2312"/>
          <w:color w:val="auto"/>
          <w:sz w:val="32"/>
          <w:szCs w:val="32"/>
          <w:highlight w:val="none"/>
        </w:rPr>
        <w:t>社会保障和就业</w:t>
      </w:r>
      <w:r>
        <w:rPr>
          <w:rFonts w:hint="eastAsia" w:ascii="仿宋_GB2312" w:eastAsia="仿宋_GB2312"/>
          <w:color w:val="auto"/>
          <w:sz w:val="32"/>
          <w:szCs w:val="32"/>
          <w:highlight w:val="none"/>
          <w:lang w:val="en-US" w:eastAsia="zh-CN"/>
        </w:rPr>
        <w:t>方面的</w:t>
      </w:r>
      <w:r>
        <w:rPr>
          <w:rFonts w:hint="eastAsia" w:ascii="仿宋_GB2312" w:eastAsia="仿宋_GB2312"/>
          <w:color w:val="auto"/>
          <w:sz w:val="32"/>
          <w:szCs w:val="32"/>
          <w:highlight w:val="none"/>
        </w:rPr>
        <w:t>支出</w:t>
      </w:r>
      <w:r>
        <w:rPr>
          <w:rFonts w:hint="eastAsia" w:ascii="仿宋_GB2312" w:eastAsia="仿宋_GB2312"/>
          <w:color w:val="auto"/>
          <w:sz w:val="32"/>
          <w:szCs w:val="32"/>
          <w:highlight w:val="none"/>
          <w:lang w:eastAsia="zh-CN"/>
        </w:rPr>
        <w:t>。</w:t>
      </w:r>
    </w:p>
    <w:p>
      <w:pPr>
        <w:numPr>
          <w:ilvl w:val="0"/>
          <w:numId w:val="0"/>
        </w:numPr>
        <w:spacing w:line="600" w:lineRule="exact"/>
        <w:ind w:firstLine="640" w:firstLineChars="20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7</w:t>
      </w:r>
      <w:r>
        <w:rPr>
          <w:rFonts w:ascii="仿宋_GB2312" w:eastAsia="仿宋_GB2312"/>
          <w:color w:val="auto"/>
          <w:sz w:val="32"/>
          <w:szCs w:val="32"/>
          <w:highlight w:val="none"/>
        </w:rPr>
        <w:t>.</w:t>
      </w:r>
      <w:r>
        <w:rPr>
          <w:rFonts w:hint="eastAsia" w:ascii="仿宋_GB2312" w:eastAsia="仿宋_GB2312" w:cs="Times New Roman"/>
          <w:color w:val="auto"/>
          <w:sz w:val="32"/>
          <w:szCs w:val="32"/>
          <w:highlight w:val="none"/>
          <w:lang w:eastAsia="zh-CN"/>
        </w:rPr>
        <w:t>卫生健康（类）</w:t>
      </w:r>
      <w:r>
        <w:rPr>
          <w:rFonts w:hint="eastAsia" w:ascii="仿宋_GB2312" w:eastAsia="仿宋_GB2312" w:cs="Times New Roman"/>
          <w:color w:val="auto"/>
          <w:sz w:val="32"/>
          <w:szCs w:val="32"/>
          <w:highlight w:val="none"/>
          <w:lang w:val="en-US" w:eastAsia="zh-CN"/>
        </w:rPr>
        <w:t>行政事业单位医疗</w:t>
      </w:r>
      <w:r>
        <w:rPr>
          <w:rFonts w:hint="eastAsia" w:ascii="仿宋_GB2312" w:eastAsia="仿宋_GB2312" w:cs="Times New Roman"/>
          <w:color w:val="auto"/>
          <w:sz w:val="32"/>
          <w:szCs w:val="32"/>
          <w:highlight w:val="none"/>
          <w:lang w:eastAsia="zh-CN"/>
        </w:rPr>
        <w:t>（款）</w:t>
      </w:r>
      <w:r>
        <w:rPr>
          <w:rFonts w:hint="eastAsia" w:ascii="仿宋_GB2312" w:eastAsia="仿宋_GB2312" w:cs="Times New Roman"/>
          <w:color w:val="auto"/>
          <w:sz w:val="32"/>
          <w:szCs w:val="32"/>
          <w:highlight w:val="none"/>
          <w:lang w:val="en-US" w:eastAsia="zh-CN"/>
        </w:rPr>
        <w:t>事业单位医疗</w:t>
      </w:r>
      <w:r>
        <w:rPr>
          <w:rFonts w:hint="eastAsia" w:ascii="仿宋_GB2312" w:eastAsia="仿宋_GB2312" w:cs="Times New Roman"/>
          <w:color w:val="auto"/>
          <w:sz w:val="32"/>
          <w:szCs w:val="32"/>
          <w:highlight w:val="none"/>
          <w:lang w:eastAsia="zh-CN"/>
        </w:rPr>
        <w:t>（项）</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指财政部门安排的事业单位单位基本医疗保险缴费经费，未参加医疗保险的事业单位的公费医疗经费，按国家规定享受离休人员待遇的医疗经费</w:t>
      </w:r>
      <w:r>
        <w:rPr>
          <w:rFonts w:hint="eastAsia" w:ascii="仿宋_GB2312" w:eastAsia="仿宋_GB2312"/>
          <w:color w:val="auto"/>
          <w:sz w:val="32"/>
          <w:szCs w:val="32"/>
          <w:highlight w:val="none"/>
          <w:lang w:eastAsia="zh-CN"/>
        </w:rPr>
        <w:t>；卫生健康（类）</w:t>
      </w:r>
      <w:r>
        <w:rPr>
          <w:rFonts w:hint="eastAsia" w:ascii="仿宋_GB2312" w:eastAsia="仿宋_GB2312"/>
          <w:color w:val="auto"/>
          <w:sz w:val="32"/>
          <w:szCs w:val="32"/>
          <w:highlight w:val="none"/>
          <w:lang w:val="en-US" w:eastAsia="zh-CN"/>
        </w:rPr>
        <w:t>行政事业单位医疗</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公务员医疗补助</w:t>
      </w:r>
      <w:r>
        <w:rPr>
          <w:rFonts w:hint="eastAsia" w:ascii="仿宋_GB2312" w:eastAsia="仿宋_GB2312"/>
          <w:color w:val="auto"/>
          <w:sz w:val="32"/>
          <w:szCs w:val="32"/>
          <w:highlight w:val="none"/>
          <w:lang w:eastAsia="zh-CN"/>
        </w:rPr>
        <w:t xml:space="preserve">（项）: </w:t>
      </w:r>
      <w:r>
        <w:rPr>
          <w:rFonts w:hint="eastAsia" w:ascii="仿宋_GB2312" w:eastAsia="仿宋_GB2312"/>
          <w:color w:val="auto"/>
          <w:sz w:val="32"/>
          <w:szCs w:val="32"/>
          <w:highlight w:val="none"/>
          <w:lang w:val="en-US" w:eastAsia="zh-CN"/>
        </w:rPr>
        <w:t>指财政部门安排的公务员医疗补助经费。</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8.节能环保支出（类）污染防治（款）大气（项）</w:t>
      </w:r>
      <w:r>
        <w:rPr>
          <w:rFonts w:hint="eastAsia" w:ascii="仿宋_GB2312" w:eastAsia="仿宋_GB2312"/>
          <w:color w:val="auto"/>
          <w:sz w:val="32"/>
          <w:szCs w:val="32"/>
          <w:highlight w:val="none"/>
        </w:rPr>
        <w:t>：指</w:t>
      </w:r>
      <w:r>
        <w:rPr>
          <w:rFonts w:hint="eastAsia" w:ascii="仿宋_GB2312" w:eastAsia="仿宋_GB2312"/>
          <w:color w:val="auto"/>
          <w:sz w:val="32"/>
          <w:szCs w:val="32"/>
          <w:highlight w:val="none"/>
          <w:lang w:val="en-US" w:eastAsia="zh-CN"/>
        </w:rPr>
        <w:t>政府在治理空气污染、汽车尾气、酸雨、二氧化硫、沙尘暴等方面的支出</w:t>
      </w:r>
      <w:r>
        <w:rPr>
          <w:rFonts w:hint="eastAsia" w:ascii="仿宋_GB2312" w:eastAsia="仿宋_GB2312"/>
          <w:color w:val="auto"/>
          <w:sz w:val="32"/>
          <w:szCs w:val="32"/>
          <w:highlight w:val="none"/>
        </w:rPr>
        <w:t>。</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9</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农林水支出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val="en-US" w:eastAsia="zh-CN"/>
        </w:rPr>
        <w:t>巩固脱贫攻坚成果衔接乡村振兴</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其他巩固脱贫攻坚成果衔接乡村振兴支出</w:t>
      </w:r>
      <w:r>
        <w:rPr>
          <w:rFonts w:hint="eastAsia" w:ascii="仿宋_GB2312" w:eastAsia="仿宋_GB2312"/>
          <w:color w:val="auto"/>
          <w:sz w:val="32"/>
          <w:szCs w:val="32"/>
          <w:highlight w:val="none"/>
        </w:rPr>
        <w:t>（项）：指其他</w:t>
      </w:r>
      <w:r>
        <w:rPr>
          <w:rFonts w:hint="eastAsia" w:ascii="仿宋_GB2312" w:eastAsia="仿宋_GB2312"/>
          <w:color w:val="auto"/>
          <w:sz w:val="32"/>
          <w:szCs w:val="32"/>
          <w:highlight w:val="none"/>
          <w:lang w:val="en-US" w:eastAsia="zh-CN"/>
        </w:rPr>
        <w:t>用于</w:t>
      </w:r>
      <w:r>
        <w:rPr>
          <w:rFonts w:hint="eastAsia" w:ascii="仿宋_GB2312" w:eastAsia="仿宋_GB2312"/>
          <w:color w:val="auto"/>
          <w:sz w:val="32"/>
          <w:szCs w:val="32"/>
          <w:highlight w:val="none"/>
        </w:rPr>
        <w:t>巩固</w:t>
      </w:r>
      <w:r>
        <w:rPr>
          <w:rFonts w:hint="eastAsia" w:ascii="仿宋_GB2312" w:eastAsia="仿宋_GB2312"/>
          <w:color w:val="auto"/>
          <w:sz w:val="32"/>
          <w:szCs w:val="32"/>
          <w:highlight w:val="none"/>
          <w:lang w:val="en-US" w:eastAsia="zh-CN"/>
        </w:rPr>
        <w:t>拓展</w:t>
      </w:r>
      <w:r>
        <w:rPr>
          <w:rFonts w:hint="eastAsia" w:ascii="仿宋_GB2312" w:eastAsia="仿宋_GB2312"/>
          <w:color w:val="auto"/>
          <w:sz w:val="32"/>
          <w:szCs w:val="32"/>
          <w:highlight w:val="none"/>
        </w:rPr>
        <w:t>脱贫攻坚成果</w:t>
      </w:r>
      <w:r>
        <w:rPr>
          <w:rFonts w:hint="eastAsia" w:ascii="仿宋_GB2312" w:eastAsia="仿宋_GB2312"/>
          <w:color w:val="auto"/>
          <w:sz w:val="32"/>
          <w:szCs w:val="32"/>
          <w:highlight w:val="none"/>
          <w:lang w:val="en-US" w:eastAsia="zh-CN"/>
        </w:rPr>
        <w:t>同</w:t>
      </w:r>
      <w:r>
        <w:rPr>
          <w:rFonts w:hint="eastAsia" w:ascii="仿宋_GB2312" w:eastAsia="仿宋_GB2312"/>
          <w:color w:val="auto"/>
          <w:sz w:val="32"/>
          <w:szCs w:val="32"/>
          <w:highlight w:val="none"/>
        </w:rPr>
        <w:t>乡村振兴</w:t>
      </w:r>
      <w:r>
        <w:rPr>
          <w:rFonts w:hint="eastAsia" w:ascii="仿宋_GB2312" w:eastAsia="仿宋_GB2312"/>
          <w:color w:val="auto"/>
          <w:sz w:val="32"/>
          <w:szCs w:val="32"/>
          <w:highlight w:val="none"/>
          <w:lang w:val="en-US" w:eastAsia="zh-CN"/>
        </w:rPr>
        <w:t>有效</w:t>
      </w:r>
      <w:r>
        <w:rPr>
          <w:rFonts w:hint="eastAsia" w:ascii="仿宋_GB2312" w:eastAsia="仿宋_GB2312"/>
          <w:color w:val="auto"/>
          <w:sz w:val="32"/>
          <w:szCs w:val="32"/>
          <w:highlight w:val="none"/>
        </w:rPr>
        <w:t>衔接</w:t>
      </w:r>
      <w:r>
        <w:rPr>
          <w:rFonts w:hint="eastAsia" w:ascii="仿宋_GB2312" w:eastAsia="仿宋_GB2312"/>
          <w:color w:val="auto"/>
          <w:sz w:val="32"/>
          <w:szCs w:val="32"/>
          <w:highlight w:val="none"/>
          <w:lang w:val="en-US" w:eastAsia="zh-CN"/>
        </w:rPr>
        <w:t>方面的</w:t>
      </w:r>
      <w:r>
        <w:rPr>
          <w:rFonts w:hint="eastAsia" w:ascii="仿宋_GB2312" w:eastAsia="仿宋_GB2312"/>
          <w:color w:val="auto"/>
          <w:sz w:val="32"/>
          <w:szCs w:val="32"/>
          <w:highlight w:val="none"/>
        </w:rPr>
        <w:t>支出。</w:t>
      </w:r>
    </w:p>
    <w:p>
      <w:pPr>
        <w:numPr>
          <w:ilvl w:val="0"/>
          <w:numId w:val="0"/>
        </w:numPr>
        <w:spacing w:line="600" w:lineRule="exact"/>
        <w:ind w:firstLine="640" w:firstLineChars="200"/>
        <w:rPr>
          <w:rStyle w:val="17"/>
          <w:rFonts w:hint="eastAsia" w:ascii="仿宋" w:hAnsi="仿宋" w:eastAsia="仿宋"/>
          <w:b w:val="0"/>
          <w:bCs/>
          <w:color w:val="auto"/>
          <w:sz w:val="32"/>
          <w:szCs w:val="32"/>
          <w:highlight w:val="none"/>
          <w:lang w:val="en-US" w:eastAsia="zh-CN"/>
        </w:rPr>
      </w:pPr>
      <w:r>
        <w:rPr>
          <w:rFonts w:hint="eastAsia" w:ascii="仿宋_GB2312" w:eastAsia="仿宋_GB2312"/>
          <w:color w:val="auto"/>
          <w:sz w:val="32"/>
          <w:szCs w:val="32"/>
          <w:highlight w:val="none"/>
          <w:lang w:val="en-US" w:eastAsia="zh-CN"/>
        </w:rPr>
        <w:t>10</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交通运输支出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val="en-US" w:eastAsia="zh-CN"/>
        </w:rPr>
        <w:t>公路水路运输</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公路建设</w:t>
      </w:r>
      <w:r>
        <w:rPr>
          <w:rFonts w:hint="eastAsia" w:ascii="仿宋_GB2312" w:eastAsia="仿宋_GB2312"/>
          <w:color w:val="auto"/>
          <w:sz w:val="32"/>
          <w:szCs w:val="32"/>
          <w:highlight w:val="none"/>
        </w:rPr>
        <w:t>（项）</w:t>
      </w:r>
      <w:r>
        <w:rPr>
          <w:rStyle w:val="17"/>
          <w:rFonts w:hint="eastAsia" w:ascii="仿宋" w:hAnsi="仿宋" w:eastAsia="仿宋"/>
          <w:b w:val="0"/>
          <w:bCs/>
          <w:color w:val="auto"/>
          <w:sz w:val="32"/>
          <w:szCs w:val="32"/>
          <w:highlight w:val="none"/>
          <w:lang w:val="en-US" w:eastAsia="zh-CN"/>
        </w:rPr>
        <w:t>: 指新建公路公路支出，公路改建支出，特大型桥梁建设支出，公路客货运站（场）建设支出；交通运输支出（类）公路水路运输（款）公路养护（项）: 指公路养护支出；交通运输支出（类）公路水路运输（款）公路运输管理（项）:指公路运输管理支出和公路路政管理支出；交通运输支出（类）公路水路运输（款）其他公路水路运输支出（项）: 指其他用于公路水路运输方面的支出；交通运输支出（类）车辆购置税支出（款）车辆购置税用于公路等基础设施建设支出（项）: 指车辆购置税收入安排用于公路等基础设施建设支出；交通运输支出（类）车辆购置税支出（款）车辆购置税其他支出（项）: 指车辆购置税收入安排用于其他支出；交通运输支出（类）其他交通运输支出（款）其他交通运输支出（项）: 指其他交通运输支出中除对公共交通运营补助以外的其他支出。</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11</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住房保障支出支出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val="en-US" w:eastAsia="zh-CN"/>
        </w:rPr>
        <w:t>住房改革支出</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住房公积金</w:t>
      </w:r>
      <w:r>
        <w:rPr>
          <w:rFonts w:hint="eastAsia" w:ascii="仿宋_GB2312" w:eastAsia="仿宋_GB2312"/>
          <w:color w:val="auto"/>
          <w:sz w:val="32"/>
          <w:szCs w:val="32"/>
          <w:highlight w:val="none"/>
        </w:rPr>
        <w:t>（项）</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指</w:t>
      </w:r>
      <w:r>
        <w:rPr>
          <w:rFonts w:hint="eastAsia" w:ascii="仿宋_GB2312" w:eastAsia="仿宋_GB2312"/>
          <w:color w:val="auto"/>
          <w:sz w:val="32"/>
          <w:szCs w:val="32"/>
          <w:highlight w:val="none"/>
          <w:lang w:val="en-US" w:eastAsia="zh-CN"/>
        </w:rPr>
        <w:t>行政事业单位按人力资源和社会保障部、财政部规定的基本工资和津贴补贴以及规定比例为职工缴纳的</w:t>
      </w:r>
      <w:r>
        <w:rPr>
          <w:rFonts w:hint="eastAsia" w:ascii="仿宋_GB2312" w:eastAsia="仿宋_GB2312"/>
          <w:color w:val="auto"/>
          <w:sz w:val="32"/>
          <w:szCs w:val="32"/>
          <w:highlight w:val="none"/>
        </w:rPr>
        <w:t>住房公积金。</w:t>
      </w:r>
    </w:p>
    <w:p>
      <w:pPr>
        <w:spacing w:line="600" w:lineRule="exact"/>
        <w:ind w:firstLine="640"/>
        <w:rPr>
          <w:rFonts w:ascii="仿宋" w:hAnsi="仿宋" w:eastAsia="仿宋"/>
          <w:b/>
          <w:sz w:val="32"/>
          <w:szCs w:val="32"/>
        </w:rPr>
      </w:pPr>
      <w:r>
        <w:rPr>
          <w:rFonts w:hint="eastAsia" w:ascii="仿宋" w:hAnsi="仿宋" w:eastAsia="仿宋"/>
          <w:b/>
          <w:sz w:val="32"/>
          <w:szCs w:val="32"/>
        </w:rPr>
        <w:t>（解释本单位决算报表中涉及的全部功能分类科目至项级，不涉及的科目请自行删除。请参照《2023年政府收支分类科目》增减内容。）</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14</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6"/>
        <w:spacing w:line="560" w:lineRule="exact"/>
        <w:ind w:firstLine="640" w:firstLineChars="200"/>
        <w:rPr>
          <w:rFonts w:ascii="仿宋_GB2312" w:eastAsia="仿宋_GB2312" w:cs="黑体"/>
          <w:color w:val="auto"/>
          <w:sz w:val="32"/>
          <w:szCs w:val="32"/>
        </w:rPr>
      </w:pPr>
    </w:p>
    <w:p>
      <w:pPr>
        <w:ind w:firstLine="643" w:firstLineChars="200"/>
        <w:rPr>
          <w:rFonts w:ascii="仿宋" w:hAnsi="仿宋" w:eastAsia="仿宋"/>
          <w:b/>
          <w:sz w:val="32"/>
          <w:szCs w:val="32"/>
        </w:rPr>
      </w:pPr>
      <w:r>
        <w:rPr>
          <w:rFonts w:hint="eastAsia" w:ascii="仿宋" w:hAnsi="仿宋" w:eastAsia="仿宋"/>
          <w:b/>
          <w:sz w:val="32"/>
          <w:szCs w:val="32"/>
        </w:rPr>
        <w:t>（名词解释部分请根据各单位实际列支情况罗列，并根据本单位职责职能增减名词解释内容。）</w:t>
      </w:r>
    </w:p>
    <w:p>
      <w:pPr>
        <w:spacing w:line="600" w:lineRule="exact"/>
        <w:jc w:val="center"/>
        <w:outlineLvl w:val="0"/>
        <w:rPr>
          <w:rStyle w:val="28"/>
          <w:rFonts w:ascii="黑体" w:hAnsi="黑体" w:eastAsia="黑体"/>
          <w:b w:val="0"/>
        </w:rPr>
      </w:pPr>
      <w:bookmarkStart w:id="75" w:name="_Toc15377226"/>
      <w:r>
        <w:rPr>
          <w:rFonts w:ascii="宋体"/>
          <w:b/>
          <w:sz w:val="44"/>
          <w:szCs w:val="44"/>
        </w:rPr>
        <w:br w:type="page"/>
      </w:r>
      <w:bookmarkStart w:id="76" w:name="_Toc15396614"/>
      <w:bookmarkStart w:id="77" w:name="_Toc31077"/>
      <w:r>
        <w:rPr>
          <w:rFonts w:hint="eastAsia" w:ascii="黑体" w:hAnsi="黑体" w:eastAsia="黑体"/>
          <w:sz w:val="44"/>
          <w:szCs w:val="44"/>
        </w:rPr>
        <w:t>第</w:t>
      </w:r>
      <w:r>
        <w:rPr>
          <w:rStyle w:val="28"/>
          <w:rFonts w:hint="eastAsia" w:ascii="黑体" w:hAnsi="黑体" w:eastAsia="黑体"/>
          <w:b w:val="0"/>
        </w:rPr>
        <w:t>四部分 附件</w:t>
      </w:r>
      <w:bookmarkEnd w:id="76"/>
      <w:bookmarkEnd w:id="77"/>
    </w:p>
    <w:p>
      <w:pPr>
        <w:spacing w:line="572" w:lineRule="exact"/>
        <w:jc w:val="left"/>
        <w:outlineLvl w:val="9"/>
        <w:rPr>
          <w:rFonts w:ascii="仿宋_GB2312" w:hAnsi="仿宋_GB2312" w:eastAsia="仿宋_GB2312" w:cs="仿宋_GB2312"/>
          <w:sz w:val="32"/>
          <w:szCs w:val="32"/>
        </w:rPr>
      </w:pPr>
    </w:p>
    <w:p>
      <w:pPr>
        <w:spacing w:line="600" w:lineRule="exact"/>
        <w:jc w:val="center"/>
        <w:outlineLvl w:val="0"/>
        <w:rPr>
          <w:rFonts w:ascii="黑体" w:hAnsi="黑体" w:eastAsia="黑体"/>
          <w:color w:val="FF0000"/>
          <w:sz w:val="44"/>
          <w:szCs w:val="44"/>
        </w:rPr>
      </w:pPr>
      <w:bookmarkStart w:id="78" w:name="_Toc28452"/>
      <w:bookmarkStart w:id="79" w:name="_Toc15396618"/>
      <w:r>
        <w:rPr>
          <w:rFonts w:hint="eastAsia"/>
          <w:sz w:val="32"/>
          <w:szCs w:val="32"/>
        </w:rPr>
        <w:t>部门预算项目支出绩效自评表（202</w:t>
      </w:r>
      <w:r>
        <w:rPr>
          <w:rFonts w:hint="eastAsia"/>
          <w:sz w:val="32"/>
          <w:szCs w:val="32"/>
          <w:lang w:val="en-US" w:eastAsia="zh-CN"/>
        </w:rPr>
        <w:t>4</w:t>
      </w:r>
      <w:r>
        <w:rPr>
          <w:rFonts w:hint="eastAsia"/>
          <w:sz w:val="32"/>
          <w:szCs w:val="32"/>
        </w:rPr>
        <w:t>年度）</w:t>
      </w:r>
      <w:bookmarkEnd w:id="78"/>
    </w:p>
    <w:tbl>
      <w:tblPr>
        <w:tblStyle w:val="15"/>
        <w:tblW w:w="74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7"/>
        <w:gridCol w:w="542"/>
        <w:gridCol w:w="542"/>
        <w:gridCol w:w="1811"/>
        <w:gridCol w:w="841"/>
        <w:gridCol w:w="1311"/>
        <w:gridCol w:w="854"/>
        <w:gridCol w:w="717"/>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7425"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交通行业安全工作监管经费</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300"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对重点工程项目进行安全监管，对运输行业主体单位进行安全监督</w:t>
            </w:r>
          </w:p>
        </w:tc>
        <w:tc>
          <w:tcPr>
            <w:tcW w:w="3300"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对重点工程项目进行安全监管56次，对运输行业主体单位进行安全监督85次。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全区交通项目安全隐患排查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40次以上</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64次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按期定期完成巡查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巡查所需费用</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5万元</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质量监督服务中心工作经费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保障质量服务中心运转，职能履行全面覆盖。</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保障质量服务中心运转，职能履行全面覆盖。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全年执行数未完全支出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完成项目质量检测工程126件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工程质量监督保障。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社会群众满意度指标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脱贫攻坚驻村工作队经费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对2024年驻村工作补贴发放完成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帮扶工作高质量完成</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完成政策宣传67户脱贫户，一般户443户</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完成2024年乡村振兴工作</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2024年内</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长期检测防范贫预警</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有效帮助预警户</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有效帮助预警户5户21人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重大项目协调经费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重大项目协调工作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符合进度推进</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各项目工期延期低于2个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0个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0个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交通运输局聘任制公务员-工程师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38.24</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0.967611336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38.24</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0.967611336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财政调剂1.29万。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发放聘用制公务员工资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加强对我区道路建设工作技术的支撑</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提高</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按时发放工资</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节约技术咨询费用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交通基本建设PPP可用性服务费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3,643.00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3,643.00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财政调剂1.29万。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道路建设里程</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78公里</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78公里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项目工期</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一年</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可持续使用年限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bl>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ascii="仿宋" w:hAnsi="仿宋" w:eastAsia="仿宋"/>
        </w:rPr>
      </w:pPr>
      <w:bookmarkStart w:id="80" w:name="_Toc26611"/>
      <w:r>
        <w:rPr>
          <w:rFonts w:hint="eastAsia" w:ascii="黑体" w:hAnsi="黑体" w:eastAsia="黑体"/>
          <w:sz w:val="44"/>
          <w:szCs w:val="44"/>
        </w:rPr>
        <w:t>第</w:t>
      </w:r>
      <w:r>
        <w:rPr>
          <w:rStyle w:val="28"/>
          <w:rFonts w:hint="eastAsia" w:ascii="黑体" w:hAnsi="黑体" w:eastAsia="黑体"/>
          <w:b w:val="0"/>
        </w:rPr>
        <w:t>五部分 附表</w:t>
      </w:r>
      <w:bookmarkEnd w:id="75"/>
      <w:bookmarkEnd w:id="79"/>
      <w:bookmarkEnd w:id="80"/>
      <w:bookmarkStart w:id="81" w:name="_Toc15396619"/>
    </w:p>
    <w:p>
      <w:pPr>
        <w:pStyle w:val="4"/>
        <w:rPr>
          <w:rFonts w:ascii="仿宋" w:hAnsi="仿宋" w:eastAsia="仿宋"/>
        </w:rPr>
      </w:pPr>
      <w:bookmarkStart w:id="82" w:name="_Toc30800"/>
      <w:r>
        <w:rPr>
          <w:rFonts w:hint="eastAsia" w:ascii="仿宋" w:hAnsi="仿宋" w:eastAsia="仿宋"/>
          <w:b w:val="0"/>
        </w:rPr>
        <w:t>一、收</w:t>
      </w:r>
      <w:r>
        <w:rPr>
          <w:rStyle w:val="29"/>
          <w:rFonts w:hint="eastAsia" w:ascii="仿宋" w:hAnsi="仿宋" w:eastAsia="仿宋"/>
          <w:b w:val="0"/>
          <w:bCs w:val="0"/>
        </w:rPr>
        <w:t>入支出决算总表</w:t>
      </w:r>
      <w:bookmarkEnd w:id="81"/>
      <w:bookmarkEnd w:id="82"/>
    </w:p>
    <w:p>
      <w:pPr>
        <w:pStyle w:val="4"/>
        <w:rPr>
          <w:rFonts w:ascii="仿宋" w:hAnsi="仿宋" w:eastAsia="仿宋"/>
        </w:rPr>
      </w:pPr>
      <w:bookmarkStart w:id="83" w:name="_Toc31761"/>
      <w:bookmarkStart w:id="84" w:name="_Toc15396620"/>
      <w:r>
        <w:rPr>
          <w:rFonts w:hint="eastAsia" w:ascii="仿宋" w:hAnsi="仿宋" w:eastAsia="仿宋"/>
          <w:b w:val="0"/>
        </w:rPr>
        <w:t>二、收</w:t>
      </w:r>
      <w:r>
        <w:rPr>
          <w:rStyle w:val="29"/>
          <w:rFonts w:hint="eastAsia" w:ascii="仿宋" w:hAnsi="仿宋" w:eastAsia="仿宋"/>
          <w:b w:val="0"/>
          <w:bCs w:val="0"/>
        </w:rPr>
        <w:t>入决算表</w:t>
      </w:r>
      <w:bookmarkEnd w:id="83"/>
      <w:bookmarkEnd w:id="84"/>
    </w:p>
    <w:p>
      <w:pPr>
        <w:pStyle w:val="4"/>
        <w:rPr>
          <w:rFonts w:ascii="仿宋" w:hAnsi="仿宋" w:eastAsia="仿宋"/>
        </w:rPr>
      </w:pPr>
      <w:bookmarkStart w:id="85" w:name="_Toc15396621"/>
      <w:bookmarkStart w:id="86" w:name="_Toc888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85"/>
      <w:bookmarkEnd w:id="86"/>
    </w:p>
    <w:p>
      <w:pPr>
        <w:pStyle w:val="4"/>
        <w:rPr>
          <w:rFonts w:ascii="仿宋" w:hAnsi="仿宋" w:eastAsia="仿宋"/>
          <w:b w:val="0"/>
        </w:rPr>
      </w:pPr>
      <w:bookmarkStart w:id="87" w:name="_Toc26582"/>
      <w:bookmarkStart w:id="88"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87"/>
      <w:bookmarkEnd w:id="88"/>
    </w:p>
    <w:p>
      <w:pPr>
        <w:pStyle w:val="4"/>
        <w:rPr>
          <w:rStyle w:val="29"/>
          <w:rFonts w:ascii="仿宋" w:hAnsi="仿宋" w:eastAsia="仿宋"/>
          <w:b w:val="0"/>
          <w:bCs w:val="0"/>
        </w:rPr>
      </w:pPr>
      <w:bookmarkStart w:id="89" w:name="_Toc15396623"/>
      <w:bookmarkStart w:id="90" w:name="_Toc1671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89"/>
      <w:bookmarkEnd w:id="90"/>
      <w:bookmarkStart w:id="91" w:name="_Toc15396624"/>
    </w:p>
    <w:p>
      <w:pPr>
        <w:pStyle w:val="4"/>
        <w:rPr>
          <w:rFonts w:ascii="仿宋" w:hAnsi="仿宋" w:eastAsia="仿宋"/>
        </w:rPr>
      </w:pPr>
      <w:bookmarkStart w:id="92" w:name="_Toc32374"/>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91"/>
      <w:bookmarkEnd w:id="92"/>
    </w:p>
    <w:p>
      <w:pPr>
        <w:pStyle w:val="4"/>
        <w:rPr>
          <w:rFonts w:ascii="仿宋" w:hAnsi="仿宋" w:eastAsia="仿宋"/>
        </w:rPr>
      </w:pPr>
      <w:bookmarkStart w:id="93" w:name="_Toc24013"/>
      <w:bookmarkStart w:id="9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93"/>
      <w:bookmarkEnd w:id="94"/>
    </w:p>
    <w:p>
      <w:pPr>
        <w:pStyle w:val="4"/>
        <w:rPr>
          <w:rFonts w:ascii="仿宋" w:hAnsi="仿宋" w:eastAsia="仿宋"/>
        </w:rPr>
      </w:pPr>
      <w:bookmarkStart w:id="95" w:name="_Toc15396626"/>
      <w:bookmarkStart w:id="96" w:name="_Toc24799"/>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95"/>
      <w:bookmarkEnd w:id="96"/>
    </w:p>
    <w:p>
      <w:pPr>
        <w:pStyle w:val="4"/>
        <w:rPr>
          <w:rFonts w:ascii="仿宋" w:hAnsi="仿宋" w:eastAsia="仿宋"/>
        </w:rPr>
      </w:pPr>
      <w:bookmarkStart w:id="97" w:name="_Toc15396627"/>
      <w:bookmarkStart w:id="98" w:name="_Toc852"/>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97"/>
      <w:bookmarkEnd w:id="98"/>
    </w:p>
    <w:p>
      <w:pPr>
        <w:pStyle w:val="4"/>
        <w:rPr>
          <w:rFonts w:ascii="仿宋" w:hAnsi="仿宋" w:eastAsia="仿宋"/>
        </w:rPr>
      </w:pPr>
      <w:bookmarkStart w:id="99" w:name="_Toc15396628"/>
      <w:bookmarkStart w:id="100" w:name="_Toc11300"/>
      <w:r>
        <w:rPr>
          <w:rStyle w:val="29"/>
          <w:rFonts w:hint="eastAsia" w:ascii="仿宋" w:hAnsi="仿宋" w:eastAsia="仿宋"/>
          <w:b w:val="0"/>
          <w:bCs w:val="0"/>
        </w:rPr>
        <w:t>十、</w:t>
      </w:r>
      <w:bookmarkEnd w:id="99"/>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100"/>
    </w:p>
    <w:p>
      <w:pPr>
        <w:pStyle w:val="4"/>
        <w:rPr>
          <w:rFonts w:ascii="仿宋" w:hAnsi="仿宋" w:eastAsia="仿宋"/>
        </w:rPr>
      </w:pPr>
      <w:bookmarkStart w:id="101" w:name="_Toc15396629"/>
      <w:bookmarkStart w:id="102" w:name="_Toc1945"/>
      <w:r>
        <w:rPr>
          <w:rStyle w:val="29"/>
          <w:rFonts w:hint="eastAsia" w:ascii="仿宋" w:hAnsi="仿宋" w:eastAsia="仿宋"/>
          <w:b w:val="0"/>
          <w:bCs w:val="0"/>
        </w:rPr>
        <w:t>十一、</w:t>
      </w:r>
      <w:bookmarkEnd w:id="101"/>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02"/>
    </w:p>
    <w:p>
      <w:pPr>
        <w:pStyle w:val="4"/>
        <w:rPr>
          <w:rFonts w:ascii="仿宋" w:hAnsi="仿宋" w:eastAsia="仿宋"/>
        </w:rPr>
      </w:pPr>
      <w:bookmarkStart w:id="103" w:name="_Toc15396630"/>
      <w:bookmarkStart w:id="104" w:name="_Toc8255"/>
      <w:r>
        <w:rPr>
          <w:rStyle w:val="29"/>
          <w:rFonts w:hint="eastAsia" w:ascii="仿宋" w:hAnsi="仿宋" w:eastAsia="仿宋"/>
          <w:b w:val="0"/>
          <w:bCs w:val="0"/>
        </w:rPr>
        <w:t>十二、</w:t>
      </w:r>
      <w:bookmarkEnd w:id="103"/>
      <w:r>
        <w:rPr>
          <w:rStyle w:val="29"/>
          <w:rFonts w:hint="eastAsia" w:ascii="仿宋" w:hAnsi="仿宋" w:eastAsia="仿宋"/>
          <w:b w:val="0"/>
          <w:bCs w:val="0"/>
        </w:rPr>
        <w:t>国有资本经营预算财政拨款支出决算表</w:t>
      </w:r>
      <w:bookmarkEnd w:id="104"/>
    </w:p>
    <w:p>
      <w:pPr>
        <w:pStyle w:val="4"/>
        <w:rPr>
          <w:rFonts w:eastAsia="仿宋"/>
        </w:rPr>
      </w:pPr>
      <w:bookmarkStart w:id="105" w:name="_Toc15396631"/>
      <w:bookmarkStart w:id="106" w:name="_Toc3883"/>
      <w:r>
        <w:rPr>
          <w:rStyle w:val="29"/>
          <w:rFonts w:hint="eastAsia" w:ascii="仿宋" w:hAnsi="仿宋" w:eastAsia="仿宋"/>
          <w:b w:val="0"/>
          <w:bCs w:val="0"/>
        </w:rPr>
        <w:t>十三、</w:t>
      </w:r>
      <w:bookmarkEnd w:id="105"/>
      <w:r>
        <w:rPr>
          <w:rStyle w:val="29"/>
          <w:rFonts w:hint="eastAsia" w:ascii="仿宋" w:hAnsi="仿宋" w:eastAsia="仿宋"/>
          <w:b w:val="0"/>
          <w:bCs w:val="0"/>
        </w:rPr>
        <w:t>财政拨款“三公”经费支出决算表</w:t>
      </w:r>
      <w:bookmarkEnd w:id="10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15</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jMDY3YjkyNDQ2MzkxNjEyMTFmOThhYzlhMWJlNT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F5FFB2F"/>
    <w:rsid w:val="0FFFCF60"/>
    <w:rsid w:val="10C055FF"/>
    <w:rsid w:val="118107EC"/>
    <w:rsid w:val="11DD6519"/>
    <w:rsid w:val="14611BC5"/>
    <w:rsid w:val="14736441"/>
    <w:rsid w:val="16BB723D"/>
    <w:rsid w:val="18015F3F"/>
    <w:rsid w:val="181F6073"/>
    <w:rsid w:val="1BE8440E"/>
    <w:rsid w:val="1D155CEE"/>
    <w:rsid w:val="1FDBBF84"/>
    <w:rsid w:val="20F57F95"/>
    <w:rsid w:val="240371BF"/>
    <w:rsid w:val="24650096"/>
    <w:rsid w:val="25711CC6"/>
    <w:rsid w:val="25C741E6"/>
    <w:rsid w:val="25D00DB5"/>
    <w:rsid w:val="276F80C0"/>
    <w:rsid w:val="27842671"/>
    <w:rsid w:val="29EB096A"/>
    <w:rsid w:val="29FD04D3"/>
    <w:rsid w:val="2ABE7A3E"/>
    <w:rsid w:val="2AFF09B6"/>
    <w:rsid w:val="2CA234A8"/>
    <w:rsid w:val="2E193E34"/>
    <w:rsid w:val="2EFA178C"/>
    <w:rsid w:val="2EFDF86C"/>
    <w:rsid w:val="2F9D17E1"/>
    <w:rsid w:val="30B46D73"/>
    <w:rsid w:val="319F7F4E"/>
    <w:rsid w:val="332A5881"/>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43B56CA"/>
    <w:rsid w:val="48BF60AB"/>
    <w:rsid w:val="493C27E9"/>
    <w:rsid w:val="496F39ED"/>
    <w:rsid w:val="49920917"/>
    <w:rsid w:val="49FF41D3"/>
    <w:rsid w:val="4BE068DB"/>
    <w:rsid w:val="4BF6002B"/>
    <w:rsid w:val="4BFFC6BE"/>
    <w:rsid w:val="4ECE2238"/>
    <w:rsid w:val="51DB4B86"/>
    <w:rsid w:val="51F64DB0"/>
    <w:rsid w:val="55333C3E"/>
    <w:rsid w:val="5F67802D"/>
    <w:rsid w:val="5F7DC4F2"/>
    <w:rsid w:val="5FB36814"/>
    <w:rsid w:val="5FBB8E56"/>
    <w:rsid w:val="5FFB5535"/>
    <w:rsid w:val="64CA39A1"/>
    <w:rsid w:val="69630ADE"/>
    <w:rsid w:val="69BD5F13"/>
    <w:rsid w:val="69FB0B4B"/>
    <w:rsid w:val="6BFFE1FB"/>
    <w:rsid w:val="6C4A05C8"/>
    <w:rsid w:val="6D3B1A89"/>
    <w:rsid w:val="6DA53D90"/>
    <w:rsid w:val="6DB7D8A3"/>
    <w:rsid w:val="6EC78701"/>
    <w:rsid w:val="6F7A5481"/>
    <w:rsid w:val="6FFE07A9"/>
    <w:rsid w:val="71900644"/>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autoRedefine/>
    <w:unhideWhenUsed/>
    <w:qFormat/>
    <w:uiPriority w:val="9"/>
    <w:pPr>
      <w:keepNext/>
      <w:keepLines/>
      <w:spacing w:before="260" w:after="260" w:line="416" w:lineRule="auto"/>
      <w:outlineLvl w:val="2"/>
    </w:pPr>
    <w:rPr>
      <w:b/>
      <w:bCs/>
      <w:sz w:val="32"/>
      <w:szCs w:val="32"/>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5"/>
    <w:autoRedefine/>
    <w:qFormat/>
    <w:uiPriority w:val="99"/>
    <w:pPr>
      <w:spacing w:beforeLines="30"/>
    </w:pPr>
    <w:rPr>
      <w:rFonts w:ascii="仿宋_GB2312" w:eastAsia="仿宋_GB2312"/>
      <w:kern w:val="0"/>
      <w:sz w:val="30"/>
    </w:rPr>
  </w:style>
  <w:style w:type="paragraph" w:styleId="6">
    <w:name w:val="Body Text Indent"/>
    <w:basedOn w:val="1"/>
    <w:next w:val="7"/>
    <w:autoRedefine/>
    <w:qFormat/>
    <w:uiPriority w:val="0"/>
    <w:pPr>
      <w:spacing w:after="120"/>
      <w:ind w:left="200" w:leftChars="200"/>
    </w:pPr>
    <w:rPr>
      <w:rFonts w:ascii="仿宋_GB2312"/>
      <w:szCs w:val="32"/>
    </w:rPr>
  </w:style>
  <w:style w:type="paragraph" w:styleId="7">
    <w:name w:val="Body Text First Indent 2"/>
    <w:basedOn w:val="6"/>
    <w:autoRedefine/>
    <w:unhideWhenUsed/>
    <w:qFormat/>
    <w:uiPriority w:val="99"/>
    <w:pPr>
      <w:ind w:firstLine="420" w:firstLineChars="200"/>
    </w:pPr>
  </w:style>
  <w:style w:type="paragraph" w:styleId="8">
    <w:name w:val="toc 3"/>
    <w:basedOn w:val="1"/>
    <w:next w:val="1"/>
    <w:autoRedefine/>
    <w:unhideWhenUsed/>
    <w:qFormat/>
    <w:uiPriority w:val="39"/>
    <w:pPr>
      <w:tabs>
        <w:tab w:val="right" w:leader="dot" w:pos="8296"/>
      </w:tabs>
      <w:ind w:left="840" w:leftChars="400"/>
    </w:pPr>
  </w:style>
  <w:style w:type="paragraph" w:styleId="9">
    <w:name w:val="Balloon Text"/>
    <w:basedOn w:val="1"/>
    <w:link w:val="31"/>
    <w:autoRedefine/>
    <w:semiHidden/>
    <w:unhideWhenUsed/>
    <w:qFormat/>
    <w:uiPriority w:val="99"/>
    <w:rPr>
      <w:sz w:val="18"/>
      <w:szCs w:val="18"/>
    </w:rPr>
  </w:style>
  <w:style w:type="paragraph" w:styleId="10">
    <w:name w:val="footer"/>
    <w:basedOn w:val="1"/>
    <w:link w:val="23"/>
    <w:autoRedefine/>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autoRedefine/>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autoRedefine/>
    <w:semiHidden/>
    <w:qFormat/>
    <w:uiPriority w:val="0"/>
    <w:pPr>
      <w:snapToGrid w:val="0"/>
      <w:jc w:val="left"/>
    </w:pPr>
    <w:rPr>
      <w:sz w:val="18"/>
      <w:szCs w:val="18"/>
    </w:rPr>
  </w:style>
  <w:style w:type="paragraph" w:styleId="14">
    <w:name w:val="toc 2"/>
    <w:basedOn w:val="1"/>
    <w:next w:val="1"/>
    <w:autoRedefine/>
    <w:unhideWhenUsed/>
    <w:qFormat/>
    <w:uiPriority w:val="39"/>
    <w:pPr>
      <w:tabs>
        <w:tab w:val="right" w:leader="dot" w:pos="8296"/>
      </w:tabs>
      <w:ind w:left="420" w:leftChars="200"/>
    </w:pPr>
  </w:style>
  <w:style w:type="character" w:styleId="17">
    <w:name w:val="Strong"/>
    <w:basedOn w:val="16"/>
    <w:autoRedefine/>
    <w:qFormat/>
    <w:uiPriority w:val="99"/>
    <w:rPr>
      <w:b/>
    </w:rPr>
  </w:style>
  <w:style w:type="character" w:styleId="18">
    <w:name w:val="Hyperlink"/>
    <w:basedOn w:val="16"/>
    <w:autoRedefine/>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autoRedefine/>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autoRedefine/>
    <w:semiHidden/>
    <w:qFormat/>
    <w:uiPriority w:val="99"/>
    <w:rPr>
      <w:rFonts w:ascii="Times New Roman" w:hAnsi="Times New Roman"/>
      <w:sz w:val="18"/>
      <w:szCs w:val="18"/>
    </w:rPr>
  </w:style>
  <w:style w:type="character" w:customStyle="1" w:styleId="21">
    <w:name w:val="页眉 字符"/>
    <w:link w:val="11"/>
    <w:autoRedefine/>
    <w:semiHidden/>
    <w:qFormat/>
    <w:locked/>
    <w:uiPriority w:val="99"/>
    <w:rPr>
      <w:sz w:val="18"/>
    </w:rPr>
  </w:style>
  <w:style w:type="character" w:customStyle="1" w:styleId="22">
    <w:name w:val="Footer Char"/>
    <w:basedOn w:val="16"/>
    <w:autoRedefine/>
    <w:semiHidden/>
    <w:qFormat/>
    <w:uiPriority w:val="99"/>
    <w:rPr>
      <w:rFonts w:ascii="Times New Roman" w:hAnsi="Times New Roman"/>
      <w:sz w:val="18"/>
      <w:szCs w:val="18"/>
    </w:rPr>
  </w:style>
  <w:style w:type="character" w:customStyle="1" w:styleId="23">
    <w:name w:val="页脚 字符"/>
    <w:link w:val="10"/>
    <w:autoRedefine/>
    <w:qFormat/>
    <w:locked/>
    <w:uiPriority w:val="99"/>
    <w:rPr>
      <w:sz w:val="18"/>
    </w:rPr>
  </w:style>
  <w:style w:type="character" w:customStyle="1" w:styleId="24">
    <w:name w:val="Body Text Char"/>
    <w:basedOn w:val="16"/>
    <w:autoRedefine/>
    <w:semiHidden/>
    <w:qFormat/>
    <w:uiPriority w:val="99"/>
    <w:rPr>
      <w:rFonts w:ascii="Times New Roman" w:hAnsi="Times New Roman"/>
      <w:szCs w:val="24"/>
    </w:rPr>
  </w:style>
  <w:style w:type="character" w:customStyle="1" w:styleId="25">
    <w:name w:val="正文文本 字符"/>
    <w:link w:val="2"/>
    <w:autoRedefine/>
    <w:qFormat/>
    <w:locked/>
    <w:uiPriority w:val="99"/>
    <w:rPr>
      <w:rFonts w:ascii="仿宋_GB2312" w:hAnsi="Times New Roman" w:eastAsia="仿宋_GB2312"/>
      <w:sz w:val="24"/>
    </w:rPr>
  </w:style>
  <w:style w:type="paragraph" w:customStyle="1" w:styleId="26">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autoRedefine/>
    <w:qFormat/>
    <w:uiPriority w:val="34"/>
    <w:pPr>
      <w:ind w:firstLine="420" w:firstLineChars="200"/>
    </w:pPr>
  </w:style>
  <w:style w:type="character" w:customStyle="1" w:styleId="28">
    <w:name w:val="标题 1 字符"/>
    <w:basedOn w:val="16"/>
    <w:link w:val="3"/>
    <w:autoRedefine/>
    <w:qFormat/>
    <w:uiPriority w:val="9"/>
    <w:rPr>
      <w:rFonts w:ascii="Times New Roman" w:hAnsi="Times New Roman"/>
      <w:b/>
      <w:bCs/>
      <w:kern w:val="44"/>
      <w:sz w:val="44"/>
      <w:szCs w:val="44"/>
    </w:rPr>
  </w:style>
  <w:style w:type="character" w:customStyle="1" w:styleId="29">
    <w:name w:val="标题 2 字符"/>
    <w:basedOn w:val="16"/>
    <w:link w:val="4"/>
    <w:autoRedefine/>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autoRedefine/>
    <w:semiHidden/>
    <w:qFormat/>
    <w:uiPriority w:val="99"/>
    <w:rPr>
      <w:rFonts w:ascii="Times New Roman" w:hAnsi="Times New Roman"/>
      <w:kern w:val="2"/>
      <w:sz w:val="18"/>
      <w:szCs w:val="18"/>
    </w:rPr>
  </w:style>
  <w:style w:type="character" w:customStyle="1" w:styleId="32">
    <w:name w:val="标题 3 字符"/>
    <w:basedOn w:val="16"/>
    <w:link w:val="5"/>
    <w:autoRedefine/>
    <w:qFormat/>
    <w:uiPriority w:val="9"/>
    <w:rPr>
      <w:rFonts w:ascii="Times New Roman" w:hAnsi="Times New Roman"/>
      <w:b/>
      <w:bCs/>
      <w:kern w:val="2"/>
      <w:sz w:val="32"/>
      <w:szCs w:val="32"/>
    </w:rPr>
  </w:style>
  <w:style w:type="paragraph" w:customStyle="1" w:styleId="33">
    <w:name w:val="TOC 标题2"/>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autoRedefine/>
    <w:qFormat/>
    <w:uiPriority w:val="0"/>
    <w:pPr>
      <w:ind w:leftChars="0"/>
    </w:pPr>
    <w:rPr>
      <w:rFonts w:ascii="Times New Roman" w:hAnsi="Times New Roman" w:eastAsia="宋体" w:cs="Times New Roman"/>
      <w:sz w:val="20"/>
      <w:szCs w:val="20"/>
    </w:rPr>
  </w:style>
  <w:style w:type="paragraph" w:customStyle="1" w:styleId="35">
    <w:name w:val="WPSOffice手动目录 2"/>
    <w:autoRedefine/>
    <w:qFormat/>
    <w:uiPriority w:val="0"/>
    <w:pPr>
      <w:ind w:leftChars="200"/>
    </w:pPr>
    <w:rPr>
      <w:rFonts w:ascii="Times New Roman" w:hAnsi="Times New Roman" w:eastAsia="宋体" w:cs="Times New Roman"/>
      <w:sz w:val="20"/>
      <w:szCs w:val="20"/>
    </w:rPr>
  </w:style>
  <w:style w:type="character" w:customStyle="1" w:styleId="36">
    <w:name w:val="font41"/>
    <w:basedOn w:val="16"/>
    <w:autoRedefine/>
    <w:qFormat/>
    <w:uiPriority w:val="0"/>
    <w:rPr>
      <w:rFonts w:hint="eastAsia" w:ascii="宋体" w:hAnsi="宋体" w:eastAsia="宋体" w:cs="宋体"/>
      <w:color w:val="333333"/>
      <w:sz w:val="18"/>
      <w:szCs w:val="18"/>
      <w:u w:val="none"/>
    </w:rPr>
  </w:style>
  <w:style w:type="character" w:customStyle="1" w:styleId="37">
    <w:name w:val="font51"/>
    <w:basedOn w:val="16"/>
    <w:autoRedefine/>
    <w:qFormat/>
    <w:uiPriority w:val="0"/>
    <w:rPr>
      <w:rFonts w:hint="eastAsia" w:ascii="宋体" w:hAnsi="宋体" w:eastAsia="宋体" w:cs="宋体"/>
      <w:color w:val="333333"/>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[工作簿1]Sheet1!$E$5:$F$5</c:f>
              <c:strCache>
                <c:ptCount val="2"/>
                <c:pt idx="0">
                  <c:v>2023年度</c:v>
                </c:pt>
                <c:pt idx="1">
                  <c:v>2024年度</c:v>
                </c:pt>
              </c:strCache>
            </c:strRef>
          </c:cat>
          <c:val>
            <c:numRef>
              <c:f>[工作簿1]Sheet1!$E$6:$F$6</c:f>
              <c:numCache>
                <c:formatCode>General</c:formatCode>
                <c:ptCount val="2"/>
                <c:pt idx="0">
                  <c:v>1615.74</c:v>
                </c:pt>
                <c:pt idx="1">
                  <c:v>1590.34</c:v>
                </c:pt>
              </c:numCache>
            </c:numRef>
          </c:val>
        </c:ser>
        <c:dLbls>
          <c:showLegendKey val="0"/>
          <c:showVal val="0"/>
          <c:showCatName val="0"/>
          <c:showSerName val="0"/>
          <c:showPercent val="0"/>
          <c:showBubbleSize val="0"/>
        </c:dLbls>
        <c:gapWidth val="246"/>
        <c:overlap val="-28"/>
        <c:axId val="692445405"/>
        <c:axId val="803478948"/>
      </c:barChart>
      <c:catAx>
        <c:axId val="692445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3478948"/>
        <c:crosses val="autoZero"/>
        <c:auto val="1"/>
        <c:lblAlgn val="ctr"/>
        <c:lblOffset val="100"/>
        <c:noMultiLvlLbl val="0"/>
      </c:catAx>
      <c:valAx>
        <c:axId val="80347894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4454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[工作簿1]Sheet3!$D$8:$D$9</c:f>
              <c:strCache>
                <c:ptCount val="2"/>
                <c:pt idx="0">
                  <c:v>其他收入</c:v>
                </c:pt>
                <c:pt idx="1">
                  <c:v>一般公共预算财政拨款收入</c:v>
                </c:pt>
              </c:strCache>
            </c:strRef>
          </c:cat>
          <c:val>
            <c:numRef>
              <c:f>[工作簿1]Sheet3!$E$8:$E$9</c:f>
              <c:numCache>
                <c:formatCode>General</c:formatCode>
                <c:ptCount val="2"/>
                <c:pt idx="0">
                  <c:v>99</c:v>
                </c:pt>
                <c:pt idx="1">
                  <c:v>0.1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2024</a:t>
            </a:r>
            <a:r>
              <a:rPr altLang="en-US"/>
              <a:t>本年支出</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elete val="1"/>
          </c:dLbls>
          <c:cat>
            <c:strRef>
              <c:f>[工作簿1]Sheet2!$A$1:$B$1</c:f>
              <c:strCache>
                <c:ptCount val="2"/>
                <c:pt idx="0">
                  <c:v>基本支出</c:v>
                </c:pt>
                <c:pt idx="1">
                  <c:v>项目支出</c:v>
                </c:pt>
              </c:strCache>
            </c:strRef>
          </c:cat>
          <c:val>
            <c:numRef>
              <c:f>[工作簿1]Sheet2!$A$2:$B$2</c:f>
              <c:numCache>
                <c:formatCode>General</c:formatCode>
                <c:ptCount val="2"/>
                <c:pt idx="0">
                  <c:v>268.76</c:v>
                </c:pt>
                <c:pt idx="1">
                  <c:v>1346.79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[工作簿1]Sheet1!$E$5:$F$5</c:f>
              <c:strCache>
                <c:ptCount val="2"/>
                <c:pt idx="0">
                  <c:v>2023年度</c:v>
                </c:pt>
                <c:pt idx="1">
                  <c:v>2024年度</c:v>
                </c:pt>
              </c:strCache>
            </c:strRef>
          </c:cat>
          <c:val>
            <c:numRef>
              <c:f>[工作簿1]Sheet1!$E$6:$F$6</c:f>
              <c:numCache>
                <c:formatCode>General</c:formatCode>
                <c:ptCount val="2"/>
                <c:pt idx="0">
                  <c:v>1615.55</c:v>
                </c:pt>
                <c:pt idx="1">
                  <c:v>1590.11</c:v>
                </c:pt>
              </c:numCache>
            </c:numRef>
          </c:val>
        </c:ser>
        <c:dLbls>
          <c:showLegendKey val="0"/>
          <c:showVal val="0"/>
          <c:showCatName val="0"/>
          <c:showSerName val="0"/>
          <c:showPercent val="0"/>
          <c:showBubbleSize val="0"/>
        </c:dLbls>
        <c:gapWidth val="246"/>
        <c:overlap val="-28"/>
        <c:axId val="692445405"/>
        <c:axId val="803478948"/>
      </c:barChart>
      <c:catAx>
        <c:axId val="692445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3478948"/>
        <c:crosses val="autoZero"/>
        <c:auto val="1"/>
        <c:lblAlgn val="ctr"/>
        <c:lblOffset val="100"/>
        <c:noMultiLvlLbl val="0"/>
      </c:catAx>
      <c:valAx>
        <c:axId val="80347894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4454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[工作簿1]Sheet1!$E$5:$F$5</c:f>
              <c:strCache>
                <c:ptCount val="2"/>
                <c:pt idx="0">
                  <c:v>2023年度</c:v>
                </c:pt>
                <c:pt idx="1">
                  <c:v>2024年度</c:v>
                </c:pt>
              </c:strCache>
            </c:strRef>
          </c:cat>
          <c:val>
            <c:numRef>
              <c:f>[工作簿1]Sheet1!$E$6:$F$6</c:f>
              <c:numCache>
                <c:formatCode>General</c:formatCode>
                <c:ptCount val="2"/>
                <c:pt idx="0">
                  <c:v>1615.55</c:v>
                </c:pt>
                <c:pt idx="1">
                  <c:v>1590.11</c:v>
                </c:pt>
              </c:numCache>
            </c:numRef>
          </c:val>
        </c:ser>
        <c:dLbls>
          <c:showLegendKey val="0"/>
          <c:showVal val="0"/>
          <c:showCatName val="0"/>
          <c:showSerName val="0"/>
          <c:showPercent val="0"/>
          <c:showBubbleSize val="0"/>
        </c:dLbls>
        <c:gapWidth val="246"/>
        <c:overlap val="-28"/>
        <c:axId val="692445405"/>
        <c:axId val="803478948"/>
      </c:barChart>
      <c:catAx>
        <c:axId val="692445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3478948"/>
        <c:crosses val="autoZero"/>
        <c:auto val="1"/>
        <c:lblAlgn val="ctr"/>
        <c:lblOffset val="100"/>
        <c:noMultiLvlLbl val="0"/>
      </c:catAx>
      <c:valAx>
        <c:axId val="80347894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4454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elete val="1"/>
          </c:dLbls>
          <c:cat>
            <c:strRef>
              <c:f>[工作簿1]Sheet2!$E$10:$E$14</c:f>
              <c:strCache>
                <c:ptCount val="5"/>
                <c:pt idx="0">
                  <c:v>社会保障和就业支出</c:v>
                </c:pt>
                <c:pt idx="1">
                  <c:v>卫生健康支出</c:v>
                </c:pt>
                <c:pt idx="2">
                  <c:v>农林水支出</c:v>
                </c:pt>
                <c:pt idx="3">
                  <c:v>交通运输支出</c:v>
                </c:pt>
                <c:pt idx="4">
                  <c:v>住房保障支出</c:v>
                </c:pt>
              </c:strCache>
            </c:strRef>
          </c:cat>
          <c:val>
            <c:numRef>
              <c:f>[工作簿1]Sheet2!$F$10:$F$14</c:f>
              <c:numCache>
                <c:formatCode>General</c:formatCode>
                <c:ptCount val="5"/>
                <c:pt idx="0">
                  <c:v>41.21</c:v>
                </c:pt>
                <c:pt idx="1">
                  <c:v>7.78</c:v>
                </c:pt>
                <c:pt idx="2">
                  <c:v>315.9</c:v>
                </c:pt>
                <c:pt idx="3" c:formatCode="#,##0.00">
                  <c:v>1207</c:v>
                </c:pt>
                <c:pt idx="4">
                  <c:v>18.21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[工作簿1]Sheet3!$D$7:$D$9</c:f>
              <c:strCache>
                <c:ptCount val="3"/>
                <c:pt idx="0">
                  <c:v>因公出国</c:v>
                </c:pt>
                <c:pt idx="1">
                  <c:v>公务用车</c:v>
                </c:pt>
                <c:pt idx="2">
                  <c:v>公务接待费</c:v>
                </c:pt>
              </c:strCache>
            </c:strRef>
          </c:cat>
          <c:val>
            <c:numRef>
              <c:f>[工作簿1]Sheet3!$E$7:$E$9</c:f>
              <c:numCache>
                <c:formatCode>General</c:formatCode>
                <c:ptCount val="3"/>
                <c:pt idx="0">
                  <c:v>0</c:v>
                </c:pt>
                <c:pt idx="1">
                  <c:v>0</c:v>
                </c:pt>
                <c:pt idx="2" c:formatCode="#,##0.00">
                  <c:v>0.62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28</Pages>
  <Words>1142</Words>
  <Characters>6514</Characters>
  <Lines>54</Lines>
  <Paragraphs>15</Paragraphs>
  <TotalTime>4</TotalTime>
  <ScaleCrop>false</ScaleCrop>
  <LinksUpToDate>false</LinksUpToDate>
  <CharactersWithSpaces>7641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2025-09-23T02:59:41Z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68A68FA8F3B049ACAD714CA74D585E86_13</vt:lpwstr>
  </property>
</Properties>
</file>