
<file path=[Content_Types].xml><?xml version="1.0" encoding="utf-8"?>
<Types xmlns="http://schemas.openxmlformats.org/package/2006/content-types">
  <Default Extension="xml" ContentType="application/xml"/>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E69D99">
      <w:pPr>
        <w:pStyle w:val="5"/>
        <w:jc w:val="both"/>
        <w:rPr>
          <w:rFonts w:hint="eastAsia" w:ascii="Times New Roman" w:hAnsi="Times New Roman" w:eastAsia="方正小标宋简体" w:cs="Times New Roman"/>
          <w:color w:val="auto"/>
          <w:kern w:val="2"/>
          <w:sz w:val="44"/>
          <w:szCs w:val="44"/>
          <w:highlight w:val="none"/>
          <w:lang w:val="en-US" w:eastAsia="zh-CN" w:bidi="ar-SA"/>
        </w:rPr>
      </w:pPr>
      <w:bookmarkStart w:id="0" w:name="_Toc15377425"/>
      <w:bookmarkStart w:id="1" w:name="_Toc15378441"/>
      <w:bookmarkStart w:id="2" w:name="_Toc15396475"/>
      <w:bookmarkStart w:id="3" w:name="_Toc15377193"/>
      <w:bookmarkStart w:id="4" w:name="_Toc15396597"/>
      <w:bookmarkStart w:id="5" w:name="_Toc15306267"/>
    </w:p>
    <w:p w14:paraId="14ECE1FE">
      <w:pPr>
        <w:pStyle w:val="5"/>
        <w:jc w:val="center"/>
        <w:rPr>
          <w:rFonts w:hint="eastAsia" w:ascii="Times New Roman" w:hAnsi="Times New Roman" w:eastAsia="方正小标宋简体" w:cs="Times New Roman"/>
          <w:color w:val="auto"/>
          <w:kern w:val="2"/>
          <w:sz w:val="44"/>
          <w:szCs w:val="44"/>
          <w:highlight w:val="none"/>
          <w:lang w:val="en-US" w:eastAsia="zh-CN" w:bidi="ar-SA"/>
        </w:rPr>
      </w:pPr>
    </w:p>
    <w:bookmarkEnd w:id="0"/>
    <w:bookmarkEnd w:id="1"/>
    <w:bookmarkEnd w:id="2"/>
    <w:bookmarkEnd w:id="3"/>
    <w:bookmarkEnd w:id="4"/>
    <w:p w14:paraId="71861133">
      <w:pPr>
        <w:pStyle w:val="5"/>
        <w:jc w:val="center"/>
        <w:rPr>
          <w:rFonts w:hint="eastAsia" w:ascii="Times New Roman" w:hAnsi="Times New Roman" w:eastAsia="方正小标宋简体" w:cs="Times New Roman"/>
          <w:color w:val="auto"/>
          <w:kern w:val="2"/>
          <w:sz w:val="44"/>
          <w:szCs w:val="44"/>
          <w:highlight w:val="none"/>
          <w:lang w:val="en-US" w:eastAsia="zh-CN" w:bidi="ar-SA"/>
        </w:rPr>
      </w:pPr>
      <w:bookmarkStart w:id="6" w:name="_Toc15396598"/>
      <w:bookmarkStart w:id="7" w:name="_Toc15377426"/>
      <w:bookmarkStart w:id="8" w:name="_Toc15396476"/>
      <w:bookmarkStart w:id="9" w:name="_Toc15377194"/>
      <w:bookmarkStart w:id="10" w:name="_Toc15378442"/>
    </w:p>
    <w:p w14:paraId="226F7144">
      <w:pPr>
        <w:pStyle w:val="5"/>
        <w:jc w:val="center"/>
        <w:rPr>
          <w:rFonts w:hint="eastAsia" w:ascii="Times New Roman" w:hAnsi="Times New Roman" w:eastAsia="方正小标宋简体" w:cs="Times New Roman"/>
          <w:color w:val="auto"/>
          <w:kern w:val="2"/>
          <w:sz w:val="44"/>
          <w:szCs w:val="44"/>
          <w:highlight w:val="none"/>
          <w:lang w:val="en-US" w:eastAsia="zh-CN" w:bidi="ar-SA"/>
        </w:rPr>
      </w:pPr>
    </w:p>
    <w:p w14:paraId="6274C4DD">
      <w:pPr>
        <w:pStyle w:val="5"/>
        <w:jc w:val="center"/>
        <w:rPr>
          <w:rFonts w:hint="eastAsia" w:ascii="Times New Roman" w:hAnsi="Times New Roman" w:eastAsia="方正小标宋简体" w:cs="Times New Roman"/>
          <w:color w:val="auto"/>
          <w:kern w:val="2"/>
          <w:sz w:val="44"/>
          <w:szCs w:val="44"/>
          <w:highlight w:val="none"/>
          <w:lang w:val="en-US" w:eastAsia="zh-CN" w:bidi="ar-SA"/>
        </w:rPr>
      </w:pPr>
    </w:p>
    <w:p w14:paraId="3B71FBE4">
      <w:pPr>
        <w:pStyle w:val="5"/>
        <w:jc w:val="center"/>
        <w:rPr>
          <w:rFonts w:hint="eastAsia" w:ascii="Times New Roman" w:hAnsi="Times New Roman" w:eastAsia="方正小标宋简体" w:cs="Times New Roman"/>
          <w:color w:val="auto"/>
          <w:kern w:val="2"/>
          <w:sz w:val="44"/>
          <w:szCs w:val="44"/>
          <w:highlight w:val="none"/>
          <w:lang w:val="en-US" w:eastAsia="zh-CN" w:bidi="ar-SA"/>
        </w:rPr>
      </w:pPr>
    </w:p>
    <w:p w14:paraId="3EAAC6E2">
      <w:pPr>
        <w:pStyle w:val="5"/>
        <w:jc w:val="center"/>
        <w:rPr>
          <w:rFonts w:hint="eastAsia" w:ascii="Times New Roman" w:hAnsi="Times New Roman" w:eastAsia="方正小标宋简体" w:cs="Times New Roman"/>
          <w:color w:val="auto"/>
          <w:kern w:val="2"/>
          <w:sz w:val="44"/>
          <w:szCs w:val="44"/>
          <w:highlight w:val="none"/>
          <w:lang w:val="en-US" w:eastAsia="zh-CN" w:bidi="ar-SA"/>
        </w:rPr>
      </w:pPr>
      <w:r>
        <w:rPr>
          <w:rFonts w:hint="eastAsia" w:ascii="Times New Roman" w:hAnsi="Times New Roman" w:eastAsia="方正小标宋简体" w:cs="Times New Roman"/>
          <w:color w:val="auto"/>
          <w:kern w:val="2"/>
          <w:sz w:val="44"/>
          <w:szCs w:val="44"/>
          <w:highlight w:val="none"/>
          <w:lang w:val="en-US" w:eastAsia="zh-CN" w:bidi="ar-SA"/>
        </w:rPr>
        <w:t>2024年度四川省</w:t>
      </w:r>
      <w:bookmarkEnd w:id="5"/>
      <w:bookmarkStart w:id="11" w:name="_Toc15306268"/>
      <w:r>
        <w:rPr>
          <w:rFonts w:hint="eastAsia" w:ascii="Times New Roman" w:eastAsia="方正小标宋简体" w:cs="Times New Roman"/>
          <w:color w:val="auto"/>
          <w:kern w:val="2"/>
          <w:sz w:val="44"/>
          <w:szCs w:val="44"/>
          <w:highlight w:val="none"/>
          <w:lang w:val="en-US" w:eastAsia="zh-CN" w:bidi="ar-SA"/>
        </w:rPr>
        <w:t>乐山市金口河区粮食和物资储备中心</w:t>
      </w:r>
      <w:bookmarkStart w:id="68" w:name="_GoBack"/>
      <w:bookmarkEnd w:id="68"/>
      <w:r>
        <w:rPr>
          <w:rFonts w:hint="eastAsia" w:ascii="Times New Roman" w:eastAsia="方正小标宋简体" w:cs="Times New Roman"/>
          <w:color w:val="auto"/>
          <w:kern w:val="2"/>
          <w:sz w:val="44"/>
          <w:szCs w:val="44"/>
          <w:highlight w:val="none"/>
          <w:lang w:val="en-US" w:eastAsia="zh-CN" w:bidi="ar-SA"/>
        </w:rPr>
        <w:t>单位</w:t>
      </w:r>
      <w:r>
        <w:rPr>
          <w:rFonts w:hint="eastAsia" w:ascii="Times New Roman" w:hAnsi="Times New Roman" w:eastAsia="方正小标宋简体" w:cs="Times New Roman"/>
          <w:color w:val="auto"/>
          <w:kern w:val="2"/>
          <w:sz w:val="44"/>
          <w:szCs w:val="44"/>
          <w:highlight w:val="none"/>
          <w:lang w:val="en-US" w:eastAsia="zh-CN" w:bidi="ar-SA"/>
        </w:rPr>
        <w:t>决算</w:t>
      </w:r>
      <w:bookmarkEnd w:id="6"/>
      <w:bookmarkEnd w:id="7"/>
      <w:bookmarkEnd w:id="8"/>
      <w:bookmarkEnd w:id="9"/>
      <w:bookmarkEnd w:id="10"/>
      <w:bookmarkEnd w:id="11"/>
    </w:p>
    <w:p w14:paraId="0578B455">
      <w:pPr>
        <w:widowControl/>
        <w:jc w:val="center"/>
        <w:rPr>
          <w:rFonts w:hint="eastAsia" w:ascii="Times New Roman" w:hAnsi="Times New Roman" w:eastAsia="黑体"/>
          <w:color w:val="auto"/>
          <w:sz w:val="48"/>
          <w:szCs w:val="48"/>
          <w:highlight w:val="none"/>
        </w:rPr>
      </w:pPr>
    </w:p>
    <w:p w14:paraId="23C9AE82">
      <w:pPr>
        <w:widowControl/>
        <w:jc w:val="center"/>
        <w:rPr>
          <w:rFonts w:hint="eastAsia" w:ascii="Times New Roman" w:hAnsi="Times New Roman" w:eastAsia="黑体"/>
          <w:color w:val="auto"/>
          <w:sz w:val="48"/>
          <w:szCs w:val="48"/>
          <w:highlight w:val="none"/>
        </w:rPr>
      </w:pPr>
    </w:p>
    <w:p w14:paraId="3D46EF2F">
      <w:pPr>
        <w:widowControl/>
        <w:jc w:val="center"/>
        <w:rPr>
          <w:rFonts w:hint="eastAsia" w:ascii="Times New Roman" w:hAnsi="Times New Roman" w:eastAsia="黑体"/>
          <w:color w:val="auto"/>
          <w:sz w:val="48"/>
          <w:szCs w:val="48"/>
          <w:highlight w:val="none"/>
        </w:rPr>
      </w:pPr>
    </w:p>
    <w:p w14:paraId="4D7DF6FF">
      <w:pPr>
        <w:pStyle w:val="16"/>
        <w:rPr>
          <w:rFonts w:hint="eastAsia"/>
          <w:color w:val="auto"/>
        </w:rPr>
      </w:pPr>
    </w:p>
    <w:p w14:paraId="70F1FC3A">
      <w:pPr>
        <w:widowControl/>
        <w:jc w:val="center"/>
        <w:rPr>
          <w:rFonts w:hint="eastAsia" w:ascii="Times New Roman" w:hAnsi="Times New Roman" w:eastAsia="黑体"/>
          <w:color w:val="auto"/>
          <w:sz w:val="48"/>
          <w:szCs w:val="48"/>
          <w:highlight w:val="none"/>
        </w:rPr>
      </w:pPr>
    </w:p>
    <w:p w14:paraId="0C95CF0A">
      <w:pPr>
        <w:widowControl/>
        <w:jc w:val="center"/>
        <w:rPr>
          <w:rFonts w:hint="eastAsia" w:ascii="Times New Roman" w:hAnsi="Times New Roman" w:eastAsia="黑体"/>
          <w:color w:val="auto"/>
          <w:sz w:val="48"/>
          <w:szCs w:val="48"/>
          <w:highlight w:val="none"/>
        </w:rPr>
      </w:pPr>
    </w:p>
    <w:p w14:paraId="71832227">
      <w:pPr>
        <w:widowControl/>
        <w:jc w:val="center"/>
        <w:rPr>
          <w:rFonts w:hint="eastAsia" w:ascii="Times New Roman" w:hAnsi="Times New Roman" w:eastAsia="黑体"/>
          <w:color w:val="auto"/>
          <w:sz w:val="48"/>
          <w:szCs w:val="48"/>
          <w:highlight w:val="none"/>
        </w:rPr>
      </w:pPr>
    </w:p>
    <w:p w14:paraId="47BAFD47">
      <w:pPr>
        <w:widowControl/>
        <w:jc w:val="center"/>
        <w:rPr>
          <w:rFonts w:hint="eastAsia" w:ascii="Times New Roman" w:hAnsi="Times New Roman" w:eastAsia="黑体"/>
          <w:color w:val="auto"/>
          <w:sz w:val="48"/>
          <w:szCs w:val="48"/>
          <w:highlight w:val="none"/>
        </w:rPr>
      </w:pPr>
    </w:p>
    <w:p w14:paraId="339AA90B">
      <w:pPr>
        <w:widowControl/>
        <w:jc w:val="center"/>
        <w:rPr>
          <w:rFonts w:hint="eastAsia" w:ascii="Times New Roman" w:hAnsi="Times New Roman" w:eastAsia="黑体"/>
          <w:color w:val="auto"/>
          <w:sz w:val="48"/>
          <w:szCs w:val="48"/>
          <w:highlight w:val="none"/>
        </w:rPr>
      </w:pPr>
    </w:p>
    <w:p w14:paraId="1A2620DB">
      <w:pPr>
        <w:widowControl/>
        <w:jc w:val="center"/>
        <w:rPr>
          <w:rFonts w:hint="eastAsia" w:ascii="Times New Roman" w:hAnsi="Times New Roman" w:eastAsia="黑体"/>
          <w:color w:val="auto"/>
          <w:sz w:val="48"/>
          <w:szCs w:val="48"/>
          <w:highlight w:val="none"/>
        </w:rPr>
      </w:pPr>
    </w:p>
    <w:p w14:paraId="5B61CEAD">
      <w:pPr>
        <w:widowControl/>
        <w:jc w:val="both"/>
        <w:rPr>
          <w:rFonts w:hint="eastAsia" w:ascii="Times New Roman" w:hAnsi="Times New Roman" w:eastAsia="黑体"/>
          <w:color w:val="auto"/>
          <w:sz w:val="48"/>
          <w:szCs w:val="48"/>
          <w:highlight w:val="none"/>
        </w:rPr>
      </w:pPr>
    </w:p>
    <w:p w14:paraId="758738EF">
      <w:pPr>
        <w:widowControl/>
        <w:jc w:val="both"/>
        <w:rPr>
          <w:rFonts w:hint="eastAsia" w:ascii="Times New Roman" w:hAnsi="Times New Roman" w:eastAsia="黑体"/>
          <w:color w:val="auto"/>
          <w:sz w:val="48"/>
          <w:szCs w:val="48"/>
          <w:highlight w:val="none"/>
        </w:rPr>
        <w:sectPr>
          <w:footerReference r:id="rId5" w:type="first"/>
          <w:headerReference r:id="rId3" w:type="default"/>
          <w:footerReference r:id="rId4" w:type="default"/>
          <w:pgSz w:w="11906" w:h="16838"/>
          <w:pgMar w:top="1440" w:right="1800" w:bottom="1440" w:left="1800" w:header="851" w:footer="992" w:gutter="0"/>
          <w:pgNumType w:fmt="decimal" w:start="1"/>
          <w:cols w:space="425" w:num="1"/>
          <w:docGrid w:type="lines" w:linePitch="312" w:charSpace="0"/>
        </w:sectPr>
      </w:pPr>
    </w:p>
    <w:p w14:paraId="3ABCFB16">
      <w:pPr>
        <w:widowControl/>
        <w:jc w:val="both"/>
        <w:rPr>
          <w:rFonts w:hint="eastAsia" w:ascii="Times New Roman" w:hAnsi="Times New Roman" w:eastAsia="黑体"/>
          <w:color w:val="auto"/>
          <w:sz w:val="48"/>
          <w:szCs w:val="48"/>
          <w:highlight w:val="none"/>
        </w:rPr>
      </w:pPr>
    </w:p>
    <w:p w14:paraId="71A44528">
      <w:pPr>
        <w:widowControl/>
        <w:jc w:val="center"/>
        <w:rPr>
          <w:rFonts w:ascii="Times New Roman" w:hAnsi="Times New Roman" w:eastAsia="黑体"/>
          <w:color w:val="auto"/>
          <w:sz w:val="48"/>
          <w:szCs w:val="48"/>
          <w:highlight w:val="none"/>
        </w:rPr>
      </w:pPr>
      <w:r>
        <w:rPr>
          <w:rFonts w:hint="eastAsia" w:ascii="Times New Roman" w:hAnsi="Times New Roman" w:eastAsia="黑体"/>
          <w:color w:val="auto"/>
          <w:sz w:val="48"/>
          <w:szCs w:val="48"/>
          <w:highlight w:val="none"/>
        </w:rPr>
        <w:t>目录</w:t>
      </w:r>
    </w:p>
    <w:p w14:paraId="4E699A13">
      <w:pPr>
        <w:widowControl/>
        <w:jc w:val="center"/>
        <w:rPr>
          <w:rFonts w:ascii="Times New Roman" w:hAnsi="Times New Roman" w:eastAsia="黑体" w:cstheme="minorBidi"/>
          <w:color w:val="auto"/>
          <w:sz w:val="28"/>
          <w:szCs w:val="28"/>
          <w:highlight w:val="none"/>
        </w:rPr>
      </w:pPr>
    </w:p>
    <w:p w14:paraId="0D2D995C">
      <w:pPr>
        <w:pStyle w:val="13"/>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公开时间：20</w:t>
      </w:r>
      <w:r>
        <w:rPr>
          <w:rFonts w:hint="eastAsia" w:ascii="Times New Roman" w:hAnsi="Times New Roman" w:eastAsia="仿宋_GB2312" w:cs="仿宋_GB2312"/>
          <w:color w:val="auto"/>
          <w:sz w:val="32"/>
          <w:szCs w:val="32"/>
          <w:highlight w:val="none"/>
          <w:lang w:val="en-US" w:eastAsia="zh-CN"/>
        </w:rPr>
        <w:t>24</w:t>
      </w:r>
      <w:r>
        <w:rPr>
          <w:rFonts w:hint="eastAsia" w:ascii="Times New Roman" w:hAnsi="Times New Roman" w:eastAsia="仿宋_GB2312" w:cs="仿宋_GB2312"/>
          <w:color w:val="auto"/>
          <w:sz w:val="32"/>
          <w:szCs w:val="32"/>
          <w:highlight w:val="none"/>
        </w:rPr>
        <w:t>年</w:t>
      </w:r>
      <w:r>
        <w:rPr>
          <w:rFonts w:hint="eastAsia" w:ascii="Times New Roman" w:hAnsi="Times New Roman" w:eastAsia="仿宋_GB2312" w:cs="仿宋_GB2312"/>
          <w:color w:val="auto"/>
          <w:sz w:val="32"/>
          <w:szCs w:val="32"/>
          <w:highlight w:val="none"/>
          <w:lang w:val="en-US" w:eastAsia="zh-CN"/>
        </w:rPr>
        <w:t xml:space="preserve"> 9 </w:t>
      </w:r>
      <w:r>
        <w:rPr>
          <w:rFonts w:hint="eastAsia" w:ascii="Times New Roman" w:hAnsi="Times New Roman" w:eastAsia="仿宋_GB2312" w:cs="仿宋_GB2312"/>
          <w:color w:val="auto"/>
          <w:sz w:val="32"/>
          <w:szCs w:val="32"/>
          <w:highlight w:val="none"/>
        </w:rPr>
        <w:t>月</w:t>
      </w:r>
      <w:r>
        <w:rPr>
          <w:rFonts w:hint="eastAsia" w:ascii="Times New Roman" w:hAnsi="Times New Roman" w:eastAsia="仿宋_GB2312" w:cs="仿宋_GB2312"/>
          <w:color w:val="auto"/>
          <w:sz w:val="32"/>
          <w:szCs w:val="32"/>
          <w:highlight w:val="none"/>
          <w:lang w:val="en-US" w:eastAsia="zh-CN"/>
        </w:rPr>
        <w:t xml:space="preserve"> 23 </w:t>
      </w:r>
      <w:r>
        <w:rPr>
          <w:rFonts w:hint="eastAsia" w:ascii="Times New Roman" w:hAnsi="Times New Roman" w:eastAsia="仿宋_GB2312" w:cs="仿宋_GB2312"/>
          <w:color w:val="auto"/>
          <w:sz w:val="32"/>
          <w:szCs w:val="32"/>
          <w:highlight w:val="none"/>
        </w:rPr>
        <w:t>日</w:t>
      </w:r>
    </w:p>
    <w:p w14:paraId="5BD0F636">
      <w:pPr>
        <w:rPr>
          <w:rFonts w:ascii="Times New Roman" w:hAnsi="Times New Roman"/>
          <w:color w:val="auto"/>
          <w:highlight w:val="none"/>
        </w:rPr>
      </w:pPr>
    </w:p>
    <w:p w14:paraId="33A0A030">
      <w:pPr>
        <w:pStyle w:val="13"/>
        <w:keepNext w:val="0"/>
        <w:keepLines w:val="0"/>
        <w:pageBreakBefore w:val="0"/>
        <w:kinsoku/>
        <w:wordWrap/>
        <w:overflowPunct/>
        <w:topLinePunct w:val="0"/>
        <w:autoSpaceDE/>
        <w:autoSpaceDN/>
        <w:bidi w:val="0"/>
        <w:adjustRightInd w:val="0"/>
        <w:snapToGrid w:val="0"/>
        <w:spacing w:before="0" w:line="560" w:lineRule="exact"/>
        <w:jc w:val="left"/>
        <w:textAlignment w:val="auto"/>
        <w:rPr>
          <w:rFonts w:hint="default" w:ascii="Times New Roman" w:hAnsi="Times New Roman" w:eastAsia="黑体" w:cs="黑体"/>
          <w:color w:val="auto"/>
          <w:sz w:val="32"/>
          <w:szCs w:val="32"/>
          <w:highlight w:val="none"/>
          <w:lang w:val="en-US"/>
        </w:rPr>
      </w:pPr>
      <w:r>
        <w:rPr>
          <w:rFonts w:hint="eastAsia" w:ascii="Times New Roman" w:hAnsi="Times New Roman" w:eastAsia="黑体" w:cs="黑体"/>
          <w:color w:val="auto"/>
          <w:sz w:val="32"/>
          <w:szCs w:val="32"/>
          <w:highlight w:val="none"/>
        </w:rPr>
        <w:t xml:space="preserve">第一部分 </w:t>
      </w:r>
      <w:r>
        <w:rPr>
          <w:rFonts w:hint="eastAsia" w:ascii="Times New Roman" w:hAnsi="Times New Roman" w:eastAsia="黑体" w:cs="黑体"/>
          <w:color w:val="auto"/>
          <w:sz w:val="32"/>
          <w:szCs w:val="32"/>
          <w:highlight w:val="none"/>
          <w:lang w:eastAsia="zh-CN"/>
        </w:rPr>
        <w:t>单位</w:t>
      </w:r>
      <w:r>
        <w:rPr>
          <w:rFonts w:hint="eastAsia" w:ascii="Times New Roman" w:hAnsi="Times New Roman" w:eastAsia="黑体" w:cs="黑体"/>
          <w:color w:val="auto"/>
          <w:sz w:val="32"/>
          <w:szCs w:val="32"/>
          <w:highlight w:val="none"/>
        </w:rPr>
        <w:t>概况</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3</w:t>
      </w:r>
    </w:p>
    <w:p w14:paraId="4138400F">
      <w:pPr>
        <w:pStyle w:val="15"/>
        <w:keepNext w:val="0"/>
        <w:keepLines w:val="0"/>
        <w:pageBreakBefore w:val="0"/>
        <w:widowControl w:val="0"/>
        <w:tabs>
          <w:tab w:val="left" w:leader="dot" w:pos="7980"/>
        </w:tabs>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仿宋" w:hAnsi="仿宋" w:eastAsia="仿宋" w:cs="仿宋"/>
          <w:color w:val="auto"/>
          <w:sz w:val="32"/>
          <w:szCs w:val="32"/>
          <w:highlight w:val="none"/>
          <w:lang w:val="en-US"/>
        </w:rPr>
      </w:pPr>
      <w:r>
        <w:rPr>
          <w:rFonts w:hint="eastAsia" w:ascii="Times New Roman" w:hAnsi="Times New Roman" w:eastAsia="仿宋_GB2312" w:cs="仿宋_GB2312"/>
          <w:color w:val="auto"/>
          <w:sz w:val="32"/>
          <w:szCs w:val="32"/>
          <w:highlight w:val="none"/>
        </w:rPr>
        <w:t>一、</w:t>
      </w:r>
      <w:r>
        <w:rPr>
          <w:rFonts w:hint="eastAsia" w:eastAsia="仿宋_GB2312" w:cs="仿宋_GB2312"/>
          <w:color w:val="auto"/>
          <w:sz w:val="32"/>
          <w:szCs w:val="32"/>
          <w:highlight w:val="none"/>
          <w:lang w:eastAsia="zh-CN"/>
        </w:rPr>
        <w:t>单位</w:t>
      </w:r>
      <w:r>
        <w:rPr>
          <w:rFonts w:hint="eastAsia" w:ascii="Times New Roman" w:hAnsi="Times New Roman" w:eastAsia="仿宋_GB2312" w:cs="仿宋_GB2312"/>
          <w:color w:val="auto"/>
          <w:sz w:val="32"/>
          <w:szCs w:val="32"/>
          <w:highlight w:val="none"/>
          <w:lang w:eastAsia="zh-CN"/>
        </w:rPr>
        <w:t>职责</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..3</w:t>
      </w:r>
    </w:p>
    <w:p w14:paraId="27188AF7">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rPr>
        <w:t>二、机构设置</w:t>
      </w:r>
      <w:r>
        <w:rPr>
          <w:rFonts w:hint="eastAsia" w:ascii="仿宋" w:hAnsi="仿宋" w:eastAsia="仿宋" w:cs="仿宋"/>
          <w:color w:val="auto"/>
          <w:sz w:val="32"/>
          <w:szCs w:val="32"/>
          <w:highlight w:val="none"/>
          <w:lang w:val="en-US" w:eastAsia="zh-CN"/>
        </w:rPr>
        <w:tab/>
      </w:r>
      <w:r>
        <w:rPr>
          <w:rFonts w:hint="eastAsia" w:ascii="仿宋" w:hAnsi="仿宋" w:eastAsia="仿宋" w:cs="仿宋"/>
          <w:color w:val="auto"/>
          <w:sz w:val="32"/>
          <w:szCs w:val="32"/>
          <w:highlight w:val="none"/>
          <w:lang w:val="en-US" w:eastAsia="zh-CN"/>
        </w:rPr>
        <w:t>3</w:t>
      </w:r>
    </w:p>
    <w:p w14:paraId="530ABB6E">
      <w:pPr>
        <w:pStyle w:val="13"/>
        <w:keepNext w:val="0"/>
        <w:keepLines w:val="0"/>
        <w:pageBreakBefore w:val="0"/>
        <w:kinsoku/>
        <w:wordWrap/>
        <w:overflowPunct/>
        <w:topLinePunct w:val="0"/>
        <w:autoSpaceDE/>
        <w:autoSpaceDN/>
        <w:bidi w:val="0"/>
        <w:adjustRightInd w:val="0"/>
        <w:snapToGrid w:val="0"/>
        <w:spacing w:before="0" w:line="560" w:lineRule="exact"/>
        <w:jc w:val="left"/>
        <w:textAlignment w:val="auto"/>
        <w:rPr>
          <w:rFonts w:hint="default" w:ascii="Times New Roman" w:hAnsi="Times New Roman" w:eastAsia="黑体" w:cs="黑体"/>
          <w:color w:val="auto"/>
          <w:sz w:val="32"/>
          <w:szCs w:val="32"/>
          <w:highlight w:val="none"/>
          <w:lang w:val="en-US"/>
        </w:rPr>
      </w:pPr>
      <w:r>
        <w:rPr>
          <w:rFonts w:hint="eastAsia" w:ascii="Times New Roman" w:hAnsi="Times New Roman" w:eastAsia="黑体" w:cs="黑体"/>
          <w:color w:val="auto"/>
          <w:sz w:val="32"/>
          <w:szCs w:val="32"/>
          <w:highlight w:val="none"/>
        </w:rPr>
        <w:t>第二部分</w:t>
      </w:r>
      <w:r>
        <w:rPr>
          <w:rFonts w:hint="eastAsia" w:ascii="Times New Roman" w:hAnsi="Times New Roman" w:eastAsia="黑体" w:cs="黑体"/>
          <w:color w:val="auto"/>
          <w:sz w:val="32"/>
          <w:szCs w:val="32"/>
          <w:highlight w:val="none"/>
          <w:lang w:val="en-US" w:eastAsia="zh-CN"/>
        </w:rPr>
        <w:t xml:space="preserve"> 2024年度</w:t>
      </w:r>
      <w:r>
        <w:rPr>
          <w:rFonts w:hint="eastAsia" w:ascii="Times New Roman" w:hAnsi="Times New Roman" w:eastAsia="黑体" w:cs="黑体"/>
          <w:color w:val="auto"/>
          <w:sz w:val="32"/>
          <w:szCs w:val="32"/>
          <w:highlight w:val="none"/>
          <w:lang w:eastAsia="zh-CN"/>
        </w:rPr>
        <w:t>单位</w:t>
      </w:r>
      <w:r>
        <w:rPr>
          <w:rFonts w:hint="eastAsia" w:ascii="Times New Roman" w:hAnsi="Times New Roman" w:eastAsia="黑体" w:cs="黑体"/>
          <w:color w:val="auto"/>
          <w:sz w:val="32"/>
          <w:szCs w:val="32"/>
          <w:highlight w:val="none"/>
        </w:rPr>
        <w:t>决算情况说明</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4</w:t>
      </w:r>
    </w:p>
    <w:p w14:paraId="2C45B072">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一、收入支出决算总体情况说明</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4</w:t>
      </w:r>
    </w:p>
    <w:p w14:paraId="3F90F421">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二、收入决算情况说明</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4</w:t>
      </w:r>
    </w:p>
    <w:p w14:paraId="29AFA4C5">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三、支出决算情况说明</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5</w:t>
      </w:r>
    </w:p>
    <w:p w14:paraId="787F9805">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四、财政拨款收入支出决算总体情况说明</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5</w:t>
      </w:r>
    </w:p>
    <w:p w14:paraId="3D203B18">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五、一般公共预算财政拨款支出决算情况说明</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6</w:t>
      </w:r>
    </w:p>
    <w:p w14:paraId="045F4E30">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六、一般公共预算财政拨款基本支出决算情况说明</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9</w:t>
      </w:r>
    </w:p>
    <w:p w14:paraId="0AD6718C">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七、财政拨款</w:t>
      </w:r>
      <w:r>
        <w:rPr>
          <w:rFonts w:hint="eastAsia" w:ascii="Times New Roman" w:hAnsi="Times New Roman" w:eastAsia="仿宋_GB2312" w:cs="仿宋_GB2312"/>
          <w:color w:val="auto"/>
          <w:sz w:val="32"/>
          <w:szCs w:val="32"/>
          <w:highlight w:val="none"/>
          <w:lang w:eastAsia="zh-CN"/>
        </w:rPr>
        <w:t>“</w:t>
      </w:r>
      <w:r>
        <w:rPr>
          <w:rFonts w:hint="eastAsia" w:ascii="Times New Roman" w:hAnsi="Times New Roman" w:eastAsia="仿宋_GB2312" w:cs="仿宋_GB2312"/>
          <w:color w:val="auto"/>
          <w:sz w:val="32"/>
          <w:szCs w:val="32"/>
          <w:highlight w:val="none"/>
        </w:rPr>
        <w:t>三公”经费支出决算情况说明</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10</w:t>
      </w:r>
    </w:p>
    <w:p w14:paraId="17E66AC4">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八、政府性基金预算支出决算情况说明</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12</w:t>
      </w:r>
    </w:p>
    <w:p w14:paraId="2109D345">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九、</w:t>
      </w:r>
      <w:r>
        <w:rPr>
          <w:rFonts w:hint="eastAsia" w:ascii="Times New Roman" w:hAnsi="Times New Roman" w:eastAsia="仿宋_GB2312" w:cs="仿宋_GB2312"/>
          <w:color w:val="auto"/>
          <w:sz w:val="32"/>
          <w:szCs w:val="32"/>
          <w:highlight w:val="none"/>
          <w:lang w:eastAsia="zh-CN"/>
        </w:rPr>
        <w:t>国</w:t>
      </w:r>
      <w:r>
        <w:rPr>
          <w:rFonts w:hint="eastAsia" w:ascii="Times New Roman" w:hAnsi="Times New Roman" w:eastAsia="仿宋_GB2312" w:cs="仿宋_GB2312"/>
          <w:color w:val="auto"/>
          <w:sz w:val="32"/>
          <w:szCs w:val="32"/>
          <w:highlight w:val="none"/>
        </w:rPr>
        <w:t>有资本经营预算支出决算情况说明</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12</w:t>
      </w:r>
    </w:p>
    <w:p w14:paraId="48C6D3DA">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lang w:eastAsia="zh-CN"/>
        </w:rPr>
        <w:t>十</w:t>
      </w:r>
      <w:r>
        <w:rPr>
          <w:rFonts w:hint="eastAsia" w:ascii="Times New Roman" w:hAnsi="Times New Roman" w:eastAsia="仿宋_GB2312" w:cs="仿宋_GB2312"/>
          <w:color w:val="auto"/>
          <w:sz w:val="32"/>
          <w:szCs w:val="32"/>
          <w:highlight w:val="none"/>
        </w:rPr>
        <w:t>、其他重要事项的情况说明</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12</w:t>
      </w:r>
    </w:p>
    <w:p w14:paraId="73F4AE11">
      <w:pPr>
        <w:pStyle w:val="13"/>
        <w:keepNext w:val="0"/>
        <w:keepLines w:val="0"/>
        <w:pageBreakBefore w:val="0"/>
        <w:kinsoku/>
        <w:wordWrap/>
        <w:overflowPunct/>
        <w:topLinePunct w:val="0"/>
        <w:autoSpaceDE/>
        <w:autoSpaceDN/>
        <w:bidi w:val="0"/>
        <w:adjustRightInd w:val="0"/>
        <w:snapToGrid w:val="0"/>
        <w:spacing w:before="0" w:line="560" w:lineRule="exact"/>
        <w:jc w:val="left"/>
        <w:textAlignment w:val="auto"/>
        <w:rPr>
          <w:rFonts w:hint="default" w:ascii="Times New Roman" w:hAnsi="Times New Roman" w:eastAsia="黑体" w:cs="黑体"/>
          <w:color w:val="auto"/>
          <w:sz w:val="32"/>
          <w:szCs w:val="32"/>
          <w:highlight w:val="none"/>
          <w:lang w:val="en-US"/>
        </w:rPr>
      </w:pPr>
      <w:r>
        <w:rPr>
          <w:rFonts w:hint="eastAsia" w:ascii="Times New Roman" w:hAnsi="Times New Roman" w:eastAsia="黑体" w:cs="黑体"/>
          <w:color w:val="auto"/>
          <w:sz w:val="32"/>
          <w:szCs w:val="32"/>
          <w:highlight w:val="none"/>
        </w:rPr>
        <w:t>第三部分 名词解释</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16</w:t>
      </w:r>
    </w:p>
    <w:p w14:paraId="04FD4BCE">
      <w:pPr>
        <w:pStyle w:val="13"/>
        <w:keepNext w:val="0"/>
        <w:keepLines w:val="0"/>
        <w:pageBreakBefore w:val="0"/>
        <w:kinsoku/>
        <w:wordWrap/>
        <w:overflowPunct/>
        <w:topLinePunct w:val="0"/>
        <w:autoSpaceDE/>
        <w:autoSpaceDN/>
        <w:bidi w:val="0"/>
        <w:adjustRightInd w:val="0"/>
        <w:snapToGrid w:val="0"/>
        <w:spacing w:before="0" w:line="560" w:lineRule="exact"/>
        <w:jc w:val="left"/>
        <w:textAlignment w:val="auto"/>
        <w:rPr>
          <w:rFonts w:hint="default" w:ascii="Times New Roman" w:hAnsi="Times New Roman" w:eastAsia="黑体" w:cs="黑体"/>
          <w:color w:val="auto"/>
          <w:sz w:val="32"/>
          <w:szCs w:val="32"/>
          <w:highlight w:val="none"/>
          <w:lang w:val="en-US"/>
        </w:rPr>
      </w:pPr>
      <w:r>
        <w:rPr>
          <w:rFonts w:hint="eastAsia" w:ascii="Times New Roman" w:hAnsi="Times New Roman" w:eastAsia="黑体" w:cs="黑体"/>
          <w:color w:val="auto"/>
          <w:sz w:val="32"/>
          <w:szCs w:val="32"/>
          <w:highlight w:val="none"/>
        </w:rPr>
        <w:t>第四部分 附件</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18</w:t>
      </w:r>
    </w:p>
    <w:p w14:paraId="1E5E670F">
      <w:pPr>
        <w:pStyle w:val="13"/>
        <w:keepNext w:val="0"/>
        <w:keepLines w:val="0"/>
        <w:pageBreakBefore w:val="0"/>
        <w:kinsoku/>
        <w:wordWrap/>
        <w:overflowPunct/>
        <w:topLinePunct w:val="0"/>
        <w:autoSpaceDE/>
        <w:autoSpaceDN/>
        <w:bidi w:val="0"/>
        <w:adjustRightInd w:val="0"/>
        <w:snapToGrid w:val="0"/>
        <w:spacing w:before="0" w:line="560" w:lineRule="exact"/>
        <w:jc w:val="left"/>
        <w:textAlignment w:val="auto"/>
        <w:rPr>
          <w:rFonts w:hint="default" w:ascii="Times New Roman" w:hAnsi="Times New Roman" w:eastAsia="黑体" w:cs="黑体"/>
          <w:color w:val="auto"/>
          <w:sz w:val="32"/>
          <w:szCs w:val="32"/>
          <w:highlight w:val="none"/>
          <w:lang w:val="en-US"/>
        </w:rPr>
      </w:pPr>
      <w:r>
        <w:rPr>
          <w:rFonts w:hint="eastAsia" w:ascii="Times New Roman" w:hAnsi="Times New Roman" w:eastAsia="黑体" w:cs="黑体"/>
          <w:color w:val="auto"/>
          <w:sz w:val="32"/>
          <w:szCs w:val="32"/>
          <w:highlight w:val="none"/>
        </w:rPr>
        <w:t>第五部分 附表</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32</w:t>
      </w:r>
    </w:p>
    <w:p w14:paraId="432E688D">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一、收入支出决算总表</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32</w:t>
      </w:r>
    </w:p>
    <w:p w14:paraId="199B54D3">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二、收入决算表</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32</w:t>
      </w:r>
    </w:p>
    <w:p w14:paraId="215A6109">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三、支出决算表</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32</w:t>
      </w:r>
    </w:p>
    <w:p w14:paraId="3885DE56">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四、财政拨款收入支出决算总表</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32</w:t>
      </w:r>
    </w:p>
    <w:p w14:paraId="0E6F9A76">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五、财政拨款支出决算明细表</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32</w:t>
      </w:r>
    </w:p>
    <w:p w14:paraId="062C18C8">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六、一般公共预算财政拨款支出决算表</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32</w:t>
      </w:r>
    </w:p>
    <w:p w14:paraId="7759E5C3">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七、一般公共预算财政拨款支出决算明细表</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32</w:t>
      </w:r>
    </w:p>
    <w:p w14:paraId="4B3B1B86">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八、一般公共预算财政拨款基本支出决算</w:t>
      </w:r>
      <w:r>
        <w:rPr>
          <w:rFonts w:hint="eastAsia" w:ascii="Times New Roman" w:hAnsi="Times New Roman" w:eastAsia="仿宋_GB2312" w:cs="仿宋_GB2312"/>
          <w:color w:val="auto"/>
          <w:sz w:val="32"/>
          <w:szCs w:val="32"/>
          <w:highlight w:val="none"/>
          <w:lang w:eastAsia="zh-CN"/>
        </w:rPr>
        <w:t>明细</w:t>
      </w:r>
      <w:r>
        <w:rPr>
          <w:rFonts w:hint="eastAsia" w:ascii="Times New Roman" w:hAnsi="Times New Roman" w:eastAsia="仿宋_GB2312" w:cs="仿宋_GB2312"/>
          <w:color w:val="auto"/>
          <w:sz w:val="32"/>
          <w:szCs w:val="32"/>
          <w:highlight w:val="none"/>
        </w:rPr>
        <w:t>表</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32</w:t>
      </w:r>
    </w:p>
    <w:p w14:paraId="3806925E">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九、一般公共预算财政拨款项目支出决算表</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32</w:t>
      </w:r>
    </w:p>
    <w:p w14:paraId="4347F551">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十、政府性基金预算财政拨款收入支出决算表</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32</w:t>
      </w:r>
    </w:p>
    <w:p w14:paraId="2C06741B">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十一、国有资本经营预算财政拨款收入支出决算表</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32</w:t>
      </w:r>
    </w:p>
    <w:p w14:paraId="66411E79">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rPr>
      </w:pPr>
      <w:r>
        <w:rPr>
          <w:rFonts w:hint="eastAsia" w:ascii="Times New Roman" w:hAnsi="Times New Roman" w:eastAsia="仿宋_GB2312" w:cs="仿宋_GB2312"/>
          <w:color w:val="auto"/>
          <w:sz w:val="32"/>
          <w:szCs w:val="32"/>
          <w:highlight w:val="none"/>
        </w:rPr>
        <w:t>十二、</w:t>
      </w:r>
      <w:r>
        <w:rPr>
          <w:rFonts w:hint="eastAsia" w:ascii="Times New Roman" w:hAnsi="Times New Roman" w:eastAsia="仿宋_GB2312" w:cs="仿宋_GB2312"/>
          <w:color w:val="auto"/>
          <w:sz w:val="32"/>
          <w:szCs w:val="32"/>
          <w:highlight w:val="none"/>
          <w:lang w:val="en-US" w:eastAsia="zh-CN"/>
        </w:rPr>
        <w:t>国有资本经营预算财政拨款支出决算表</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32</w:t>
      </w:r>
    </w:p>
    <w:p w14:paraId="298B805D">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十三、财政拨款“三公”经费支出决算表</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32</w:t>
      </w:r>
    </w:p>
    <w:p w14:paraId="1B4D8C02">
      <w:pPr>
        <w:pStyle w:val="2"/>
        <w:jc w:val="both"/>
        <w:rPr>
          <w:rFonts w:hint="eastAsia" w:ascii="Times New Roman" w:hAnsi="Times New Roman" w:eastAsia="方正小标宋简体" w:cs="方正小标宋简体"/>
          <w:b w:val="0"/>
          <w:color w:val="auto"/>
          <w:highlight w:val="none"/>
        </w:rPr>
      </w:pPr>
      <w:bookmarkStart w:id="12" w:name="_Toc15377196"/>
      <w:bookmarkStart w:id="13" w:name="_Toc15396599"/>
    </w:p>
    <w:p w14:paraId="03C62514">
      <w:pPr>
        <w:rPr>
          <w:rFonts w:hint="eastAsia"/>
          <w:color w:val="auto"/>
        </w:rPr>
      </w:pPr>
    </w:p>
    <w:p w14:paraId="1A3E467D">
      <w:pPr>
        <w:pStyle w:val="2"/>
        <w:jc w:val="center"/>
        <w:rPr>
          <w:rFonts w:hint="eastAsia" w:ascii="Times New Roman" w:hAnsi="Times New Roman" w:eastAsia="方正小标宋简体" w:cs="方正小标宋简体"/>
          <w:b w:val="0"/>
          <w:color w:val="auto"/>
          <w:highlight w:val="none"/>
        </w:rPr>
      </w:pPr>
    </w:p>
    <w:p w14:paraId="639BBD9A">
      <w:pPr>
        <w:pStyle w:val="2"/>
        <w:jc w:val="center"/>
        <w:rPr>
          <w:rFonts w:hint="eastAsia" w:ascii="Times New Roman" w:hAnsi="Times New Roman" w:eastAsia="方正小标宋简体" w:cs="方正小标宋简体"/>
          <w:b w:val="0"/>
          <w:color w:val="auto"/>
          <w:highlight w:val="none"/>
        </w:rPr>
      </w:pPr>
    </w:p>
    <w:p w14:paraId="649E571D">
      <w:pPr>
        <w:rPr>
          <w:rFonts w:hint="eastAsia" w:ascii="Times New Roman" w:hAnsi="Times New Roman" w:eastAsia="方正小标宋简体" w:cs="方正小标宋简体"/>
          <w:b w:val="0"/>
          <w:color w:val="auto"/>
          <w:highlight w:val="none"/>
        </w:rPr>
      </w:pPr>
    </w:p>
    <w:p w14:paraId="25388A3C">
      <w:pPr>
        <w:rPr>
          <w:rFonts w:hint="eastAsia" w:ascii="Times New Roman" w:hAnsi="Times New Roman" w:eastAsia="方正小标宋简体" w:cs="方正小标宋简体"/>
          <w:b w:val="0"/>
          <w:color w:val="auto"/>
          <w:highlight w:val="none"/>
        </w:rPr>
      </w:pPr>
    </w:p>
    <w:p w14:paraId="74A599A5">
      <w:pPr>
        <w:rPr>
          <w:rFonts w:hint="eastAsia" w:ascii="Times New Roman" w:hAnsi="Times New Roman" w:eastAsia="方正小标宋简体" w:cs="方正小标宋简体"/>
          <w:b w:val="0"/>
          <w:color w:val="auto"/>
          <w:highlight w:val="none"/>
        </w:rPr>
      </w:pPr>
    </w:p>
    <w:p w14:paraId="0008C85A">
      <w:pPr>
        <w:rPr>
          <w:rFonts w:hint="eastAsia" w:ascii="Times New Roman" w:hAnsi="Times New Roman" w:eastAsia="方正小标宋简体" w:cs="方正小标宋简体"/>
          <w:b w:val="0"/>
          <w:color w:val="auto"/>
          <w:highlight w:val="none"/>
        </w:rPr>
      </w:pPr>
    </w:p>
    <w:p w14:paraId="00A07BAA">
      <w:pPr>
        <w:rPr>
          <w:rFonts w:hint="eastAsia" w:ascii="Times New Roman" w:hAnsi="Times New Roman" w:eastAsia="方正小标宋简体" w:cs="方正小标宋简体"/>
          <w:b w:val="0"/>
          <w:color w:val="auto"/>
          <w:highlight w:val="none"/>
        </w:rPr>
      </w:pPr>
    </w:p>
    <w:p w14:paraId="756E0405">
      <w:pPr>
        <w:pStyle w:val="2"/>
        <w:jc w:val="center"/>
        <w:rPr>
          <w:rFonts w:hint="eastAsia" w:ascii="Times New Roman" w:hAnsi="Times New Roman" w:eastAsia="方正小标宋简体" w:cs="方正小标宋简体"/>
          <w:b w:val="0"/>
          <w:color w:val="auto"/>
          <w:highlight w:val="none"/>
        </w:rPr>
        <w:sectPr>
          <w:footerReference r:id="rId6" w:type="default"/>
          <w:pgSz w:w="11906" w:h="16838"/>
          <w:pgMar w:top="1440" w:right="1800" w:bottom="1440" w:left="1800" w:header="851" w:footer="992" w:gutter="0"/>
          <w:pgNumType w:fmt="decimal" w:start="1"/>
          <w:cols w:space="425" w:num="1"/>
          <w:docGrid w:type="lines" w:linePitch="312" w:charSpace="0"/>
        </w:sectPr>
      </w:pPr>
    </w:p>
    <w:p w14:paraId="4FADCAFC">
      <w:pPr>
        <w:pStyle w:val="2"/>
        <w:jc w:val="center"/>
        <w:rPr>
          <w:rFonts w:ascii="Times New Roman" w:hAnsi="Times New Roman" w:eastAsia="黑体"/>
          <w:color w:val="auto"/>
          <w:sz w:val="32"/>
          <w:szCs w:val="32"/>
          <w:highlight w:val="none"/>
        </w:rPr>
      </w:pPr>
      <w:r>
        <w:rPr>
          <w:rFonts w:hint="eastAsia" w:ascii="Times New Roman" w:hAnsi="Times New Roman" w:eastAsia="方正小标宋简体" w:cs="方正小标宋简体"/>
          <w:b w:val="0"/>
          <w:color w:val="auto"/>
          <w:highlight w:val="none"/>
        </w:rPr>
        <w:t>第一部分</w:t>
      </w:r>
      <w:r>
        <w:rPr>
          <w:rFonts w:hint="eastAsia" w:ascii="Times New Roman" w:hAnsi="Times New Roman" w:eastAsia="方正小标宋简体" w:cs="方正小标宋简体"/>
          <w:b w:val="0"/>
          <w:color w:val="auto"/>
          <w:highlight w:val="none"/>
          <w:lang w:val="en-US" w:eastAsia="zh-CN"/>
        </w:rPr>
        <w:t xml:space="preserve"> </w:t>
      </w:r>
      <w:r>
        <w:rPr>
          <w:rFonts w:hint="eastAsia" w:ascii="Times New Roman" w:hAnsi="Times New Roman" w:eastAsia="方正小标宋简体" w:cs="方正小标宋简体"/>
          <w:b w:val="0"/>
          <w:color w:val="auto"/>
          <w:highlight w:val="none"/>
        </w:rPr>
        <w:t xml:space="preserve"> </w:t>
      </w:r>
      <w:r>
        <w:rPr>
          <w:rStyle w:val="30"/>
          <w:rFonts w:hint="eastAsia" w:eastAsia="方正小标宋简体" w:cs="方正小标宋简体"/>
          <w:b w:val="0"/>
          <w:bCs w:val="0"/>
          <w:color w:val="auto"/>
          <w:highlight w:val="none"/>
          <w:lang w:eastAsia="zh-CN"/>
        </w:rPr>
        <w:t>单位</w:t>
      </w:r>
      <w:r>
        <w:rPr>
          <w:rStyle w:val="30"/>
          <w:rFonts w:hint="eastAsia" w:ascii="Times New Roman" w:hAnsi="Times New Roman" w:eastAsia="方正小标宋简体" w:cs="方正小标宋简体"/>
          <w:b w:val="0"/>
          <w:bCs w:val="0"/>
          <w:color w:val="auto"/>
          <w:highlight w:val="none"/>
        </w:rPr>
        <w:t>概况</w:t>
      </w:r>
      <w:bookmarkEnd w:id="12"/>
      <w:bookmarkEnd w:id="13"/>
    </w:p>
    <w:p w14:paraId="10DD3E30">
      <w:pPr>
        <w:pStyle w:val="3"/>
        <w:numPr>
          <w:ilvl w:val="0"/>
          <w:numId w:val="1"/>
        </w:numPr>
        <w:rPr>
          <w:rFonts w:hint="eastAsia" w:ascii="Times New Roman" w:hAnsi="Times New Roman" w:eastAsia="黑体"/>
          <w:b w:val="0"/>
          <w:color w:val="auto"/>
          <w:highlight w:val="none"/>
          <w:lang w:eastAsia="zh-CN"/>
        </w:rPr>
      </w:pPr>
      <w:r>
        <w:rPr>
          <w:rFonts w:hint="eastAsia" w:ascii="Times New Roman" w:hAnsi="Times New Roman" w:eastAsia="黑体"/>
          <w:b w:val="0"/>
          <w:color w:val="auto"/>
          <w:highlight w:val="none"/>
          <w:lang w:eastAsia="zh-CN"/>
        </w:rPr>
        <w:t>单位职责</w:t>
      </w:r>
    </w:p>
    <w:p w14:paraId="1BE754A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1</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lang w:eastAsia="zh-CN"/>
        </w:rPr>
        <w:t>组织执行党的路线、方针、政策和国家法律法规。</w:t>
      </w:r>
    </w:p>
    <w:p w14:paraId="5D9C1D6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2</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lang w:eastAsia="zh-CN"/>
        </w:rPr>
        <w:t>贯彻国务院颁布的《粮食流通管理条例》。</w:t>
      </w:r>
    </w:p>
    <w:p w14:paraId="1B8DD36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3</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lang w:eastAsia="zh-CN"/>
        </w:rPr>
        <w:t>负责全区粮食流通的行政执法和监督检查，保护粮食生产者的积极性，维护经营者和消费者权益，保障全区粮食安全，维护粮食市场秩序。</w:t>
      </w:r>
    </w:p>
    <w:p w14:paraId="1A7E381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4</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lang w:eastAsia="zh-CN"/>
        </w:rPr>
        <w:t>负责全区粮食流通行政监督，行业指导，加强粮食宏观调控，发挥粮食单位的主渠道作用。</w:t>
      </w:r>
    </w:p>
    <w:p w14:paraId="0F7B34A8">
      <w:pPr>
        <w:numPr>
          <w:ilvl w:val="0"/>
          <w:numId w:val="0"/>
        </w:numPr>
        <w:ind w:firstLine="640" w:firstLineChars="200"/>
        <w:rPr>
          <w:rFonts w:hint="eastAsia"/>
          <w:color w:val="auto"/>
          <w:lang w:eastAsia="zh-CN"/>
        </w:rPr>
      </w:pPr>
      <w:r>
        <w:rPr>
          <w:rFonts w:hint="eastAsia" w:ascii="仿宋_GB2312" w:hAnsi="仿宋_GB2312" w:eastAsia="仿宋_GB2312" w:cs="仿宋_GB2312"/>
          <w:color w:val="auto"/>
          <w:sz w:val="32"/>
          <w:szCs w:val="32"/>
          <w:lang w:eastAsia="zh-CN"/>
        </w:rPr>
        <w:t>5</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lang w:eastAsia="zh-CN"/>
        </w:rPr>
        <w:t>负责监管区级储备粮油，保障储备粮油的安全，建立粮食应急机制，应对突发事件。</w:t>
      </w:r>
    </w:p>
    <w:p w14:paraId="4F4BA9EA">
      <w:pPr>
        <w:pStyle w:val="3"/>
        <w:rPr>
          <w:rStyle w:val="31"/>
          <w:rFonts w:ascii="Times New Roman" w:hAnsi="Times New Roman"/>
          <w:b w:val="0"/>
          <w:bCs w:val="0"/>
          <w:color w:val="auto"/>
          <w:highlight w:val="none"/>
        </w:rPr>
      </w:pPr>
      <w:bookmarkStart w:id="14" w:name="_Toc15396601"/>
      <w:bookmarkStart w:id="15" w:name="_Toc15377200"/>
      <w:r>
        <w:rPr>
          <w:rFonts w:hint="eastAsia" w:ascii="Times New Roman" w:hAnsi="Times New Roman" w:eastAsia="黑体"/>
          <w:b w:val="0"/>
          <w:color w:val="auto"/>
          <w:highlight w:val="none"/>
        </w:rPr>
        <w:t>二、机</w:t>
      </w:r>
      <w:r>
        <w:rPr>
          <w:rStyle w:val="31"/>
          <w:rFonts w:hint="eastAsia" w:ascii="Times New Roman" w:hAnsi="Times New Roman" w:eastAsia="黑体"/>
          <w:b w:val="0"/>
          <w:bCs w:val="0"/>
          <w:color w:val="auto"/>
          <w:highlight w:val="none"/>
        </w:rPr>
        <w:t>构设置</w:t>
      </w:r>
      <w:bookmarkEnd w:id="14"/>
      <w:bookmarkEnd w:id="15"/>
    </w:p>
    <w:p w14:paraId="3D07F98F">
      <w:pPr>
        <w:ind w:firstLine="800" w:firstLineChars="250"/>
        <w:rPr>
          <w:rFonts w:hint="eastAsia" w:ascii="Times New Roman" w:hAnsi="Times New Roman"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乐山市金口河区粮食和物资储备中心</w:t>
      </w:r>
      <w:r>
        <w:rPr>
          <w:rFonts w:hint="eastAsia" w:ascii="Times New Roman" w:hAnsi="Times New Roman" w:eastAsia="仿宋_GB2312" w:cs="仿宋_GB2312"/>
          <w:color w:val="auto"/>
          <w:sz w:val="32"/>
          <w:szCs w:val="32"/>
          <w:highlight w:val="none"/>
        </w:rPr>
        <w:t>下属二级</w:t>
      </w:r>
      <w:r>
        <w:rPr>
          <w:rFonts w:hint="eastAsia" w:ascii="Times New Roman" w:hAnsi="Times New Roman" w:eastAsia="仿宋_GB2312" w:cs="仿宋_GB2312"/>
          <w:color w:val="auto"/>
          <w:sz w:val="32"/>
          <w:szCs w:val="32"/>
          <w:highlight w:val="none"/>
          <w:lang w:eastAsia="zh-CN"/>
        </w:rPr>
        <w:t>预算</w:t>
      </w:r>
      <w:r>
        <w:rPr>
          <w:rFonts w:hint="eastAsia" w:ascii="Times New Roman" w:hAnsi="Times New Roman" w:eastAsia="仿宋_GB2312" w:cs="仿宋_GB2312"/>
          <w:color w:val="auto"/>
          <w:sz w:val="32"/>
          <w:szCs w:val="32"/>
          <w:highlight w:val="none"/>
        </w:rPr>
        <w:t>单位</w:t>
      </w:r>
      <w:r>
        <w:rPr>
          <w:rFonts w:hint="eastAsia" w:eastAsia="仿宋_GB2312" w:cs="仿宋_GB2312"/>
          <w:color w:val="auto"/>
          <w:sz w:val="32"/>
          <w:szCs w:val="32"/>
          <w:highlight w:val="none"/>
          <w:lang w:val="en-US" w:eastAsia="zh-CN"/>
        </w:rPr>
        <w:t>0</w:t>
      </w:r>
      <w:r>
        <w:rPr>
          <w:rFonts w:hint="eastAsia" w:ascii="Times New Roman" w:hAnsi="Times New Roman" w:eastAsia="仿宋_GB2312" w:cs="仿宋_GB2312"/>
          <w:color w:val="auto"/>
          <w:sz w:val="32"/>
          <w:szCs w:val="32"/>
          <w:highlight w:val="none"/>
        </w:rPr>
        <w:t>个，其中行政单位</w:t>
      </w:r>
      <w:r>
        <w:rPr>
          <w:rFonts w:hint="eastAsia" w:eastAsia="仿宋_GB2312" w:cs="仿宋_GB2312"/>
          <w:color w:val="auto"/>
          <w:sz w:val="32"/>
          <w:szCs w:val="32"/>
          <w:highlight w:val="none"/>
          <w:lang w:val="en-US" w:eastAsia="zh-CN"/>
        </w:rPr>
        <w:t>0</w:t>
      </w:r>
      <w:r>
        <w:rPr>
          <w:rFonts w:hint="eastAsia" w:ascii="Times New Roman" w:hAnsi="Times New Roman" w:eastAsia="仿宋_GB2312" w:cs="仿宋_GB2312"/>
          <w:color w:val="auto"/>
          <w:sz w:val="32"/>
          <w:szCs w:val="32"/>
          <w:highlight w:val="none"/>
        </w:rPr>
        <w:t>个，参照公务员法管理的事业单位</w:t>
      </w:r>
      <w:r>
        <w:rPr>
          <w:rFonts w:hint="eastAsia" w:eastAsia="仿宋_GB2312" w:cs="仿宋_GB2312"/>
          <w:bCs/>
          <w:color w:val="auto"/>
          <w:sz w:val="32"/>
          <w:szCs w:val="32"/>
          <w:highlight w:val="none"/>
          <w:lang w:val="en-US" w:eastAsia="zh-CN"/>
        </w:rPr>
        <w:t>1</w:t>
      </w:r>
      <w:r>
        <w:rPr>
          <w:rFonts w:hint="eastAsia" w:ascii="Times New Roman" w:hAnsi="Times New Roman" w:eastAsia="仿宋_GB2312" w:cs="仿宋_GB2312"/>
          <w:color w:val="auto"/>
          <w:sz w:val="32"/>
          <w:szCs w:val="32"/>
          <w:highlight w:val="none"/>
        </w:rPr>
        <w:t>个，其他事业单位</w:t>
      </w:r>
      <w:r>
        <w:rPr>
          <w:rFonts w:hint="eastAsia" w:eastAsia="仿宋_GB2312" w:cs="仿宋_GB2312"/>
          <w:color w:val="auto"/>
          <w:sz w:val="32"/>
          <w:szCs w:val="32"/>
          <w:highlight w:val="none"/>
          <w:lang w:val="en-US" w:eastAsia="zh-CN"/>
        </w:rPr>
        <w:t>0</w:t>
      </w:r>
      <w:r>
        <w:rPr>
          <w:rFonts w:hint="eastAsia" w:ascii="Times New Roman" w:hAnsi="Times New Roman" w:eastAsia="仿宋_GB2312" w:cs="仿宋_GB2312"/>
          <w:color w:val="auto"/>
          <w:sz w:val="32"/>
          <w:szCs w:val="32"/>
          <w:highlight w:val="none"/>
        </w:rPr>
        <w:t>个。</w:t>
      </w:r>
    </w:p>
    <w:p w14:paraId="7F991F57">
      <w:pPr>
        <w:pStyle w:val="5"/>
        <w:adjustRightInd w:val="0"/>
        <w:snapToGrid w:val="0"/>
        <w:spacing w:before="93" w:line="600" w:lineRule="exact"/>
        <w:ind w:firstLine="672" w:firstLineChars="210"/>
        <w:rPr>
          <w:rFonts w:hint="eastAsia" w:ascii="Times New Roman"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纳入</w:t>
      </w:r>
      <w:r>
        <w:rPr>
          <w:color w:val="auto"/>
          <w:sz w:val="32"/>
          <w:szCs w:val="32"/>
        </w:rPr>
        <w:t>乐山市金口河区粮食和物资储备中心</w:t>
      </w:r>
      <w:r>
        <w:rPr>
          <w:rFonts w:hint="eastAsia" w:ascii="Times New Roman" w:hAnsi="Times New Roman" w:eastAsia="仿宋_GB2312" w:cs="仿宋_GB2312"/>
          <w:color w:val="auto"/>
          <w:sz w:val="32"/>
          <w:szCs w:val="32"/>
          <w:highlight w:val="none"/>
          <w:lang w:eastAsia="zh-CN"/>
        </w:rPr>
        <w:t>2024年度</w:t>
      </w:r>
      <w:r>
        <w:rPr>
          <w:rFonts w:hint="eastAsia" w:ascii="Times New Roman" w:cs="仿宋_GB2312"/>
          <w:color w:val="auto"/>
          <w:sz w:val="32"/>
          <w:szCs w:val="32"/>
          <w:highlight w:val="none"/>
          <w:lang w:eastAsia="zh-CN"/>
        </w:rPr>
        <w:t>单位</w:t>
      </w:r>
      <w:r>
        <w:rPr>
          <w:rFonts w:hint="eastAsia" w:ascii="Times New Roman" w:hAnsi="Times New Roman" w:eastAsia="仿宋_GB2312" w:cs="仿宋_GB2312"/>
          <w:color w:val="auto"/>
          <w:sz w:val="32"/>
          <w:szCs w:val="32"/>
          <w:highlight w:val="none"/>
        </w:rPr>
        <w:t>决算编制范围的二级预算单位包括：</w:t>
      </w:r>
      <w:r>
        <w:rPr>
          <w:rFonts w:hint="eastAsia" w:ascii="Times New Roman" w:cs="仿宋_GB2312"/>
          <w:color w:val="auto"/>
          <w:sz w:val="32"/>
          <w:szCs w:val="32"/>
          <w:highlight w:val="none"/>
          <w:lang w:val="en-US" w:eastAsia="zh-CN"/>
        </w:rPr>
        <w:t>无</w:t>
      </w:r>
    </w:p>
    <w:p w14:paraId="0E9CC8FB">
      <w:pPr>
        <w:pStyle w:val="5"/>
        <w:adjustRightInd w:val="0"/>
        <w:snapToGrid w:val="0"/>
        <w:spacing w:before="93" w:line="600" w:lineRule="exact"/>
        <w:ind w:firstLine="672" w:firstLineChars="210"/>
        <w:rPr>
          <w:rFonts w:hint="eastAsia" w:ascii="Times New Roman" w:cs="仿宋_GB2312"/>
          <w:color w:val="auto"/>
          <w:sz w:val="32"/>
          <w:szCs w:val="32"/>
          <w:highlight w:val="none"/>
          <w:lang w:val="en-US" w:eastAsia="zh-CN"/>
        </w:rPr>
      </w:pPr>
    </w:p>
    <w:p w14:paraId="2696E48C">
      <w:pPr>
        <w:pStyle w:val="2"/>
        <w:jc w:val="center"/>
        <w:rPr>
          <w:rFonts w:hint="eastAsia" w:ascii="Times New Roman" w:hAnsi="Times New Roman" w:eastAsia="方正小标宋简体" w:cs="方正小标宋简体"/>
          <w:b w:val="0"/>
          <w:color w:val="auto"/>
          <w:highlight w:val="none"/>
        </w:rPr>
        <w:sectPr>
          <w:footerReference r:id="rId8" w:type="first"/>
          <w:footerReference r:id="rId7" w:type="default"/>
          <w:pgSz w:w="11906" w:h="16838"/>
          <w:pgMar w:top="1440" w:right="1800" w:bottom="1440" w:left="1800" w:header="851" w:footer="992" w:gutter="0"/>
          <w:pgNumType w:fmt="decimal"/>
          <w:cols w:space="425" w:num="1"/>
          <w:titlePg/>
          <w:docGrid w:type="lines" w:linePitch="312" w:charSpace="0"/>
        </w:sectPr>
      </w:pPr>
      <w:bookmarkStart w:id="16" w:name="_Toc15377204"/>
      <w:bookmarkStart w:id="17" w:name="_Toc15396602"/>
    </w:p>
    <w:p w14:paraId="006EE364">
      <w:pPr>
        <w:pStyle w:val="2"/>
        <w:jc w:val="center"/>
        <w:rPr>
          <w:rFonts w:ascii="Times New Roman" w:hAnsi="Times New Roman"/>
          <w:color w:val="auto"/>
          <w:highlight w:val="none"/>
        </w:rPr>
      </w:pPr>
      <w:r>
        <w:rPr>
          <w:rFonts w:hint="eastAsia" w:ascii="Times New Roman" w:hAnsi="Times New Roman" w:eastAsia="方正小标宋简体" w:cs="方正小标宋简体"/>
          <w:b w:val="0"/>
          <w:color w:val="auto"/>
          <w:highlight w:val="none"/>
        </w:rPr>
        <w:t>第二部分</w:t>
      </w:r>
      <w:r>
        <w:rPr>
          <w:rFonts w:hint="eastAsia" w:ascii="Times New Roman" w:hAnsi="Times New Roman" w:eastAsia="方正小标宋简体" w:cs="方正小标宋简体"/>
          <w:b w:val="0"/>
          <w:color w:val="auto"/>
          <w:highlight w:val="none"/>
          <w:lang w:val="en-US" w:eastAsia="zh-CN"/>
        </w:rPr>
        <w:t xml:space="preserve"> </w:t>
      </w:r>
      <w:r>
        <w:rPr>
          <w:rFonts w:hint="eastAsia" w:ascii="Times New Roman" w:hAnsi="Times New Roman" w:eastAsia="方正小标宋简体" w:cs="方正小标宋简体"/>
          <w:b w:val="0"/>
          <w:color w:val="auto"/>
          <w:highlight w:val="none"/>
        </w:rPr>
        <w:t xml:space="preserve"> </w:t>
      </w:r>
      <w:r>
        <w:rPr>
          <w:rFonts w:hint="eastAsia" w:ascii="Times New Roman" w:hAnsi="Times New Roman" w:eastAsia="方正小标宋简体" w:cs="方正小标宋简体"/>
          <w:b w:val="0"/>
          <w:color w:val="auto"/>
          <w:highlight w:val="none"/>
          <w:lang w:val="en-US" w:eastAsia="zh-CN"/>
        </w:rPr>
        <w:t>2024年度</w:t>
      </w:r>
      <w:r>
        <w:rPr>
          <w:rFonts w:hint="eastAsia" w:eastAsia="方正小标宋简体" w:cs="方正小标宋简体"/>
          <w:b w:val="0"/>
          <w:color w:val="auto"/>
          <w:highlight w:val="none"/>
          <w:lang w:eastAsia="zh-CN"/>
        </w:rPr>
        <w:t>单位</w:t>
      </w:r>
      <w:r>
        <w:rPr>
          <w:rFonts w:hint="eastAsia" w:ascii="Times New Roman" w:hAnsi="Times New Roman" w:eastAsia="方正小标宋简体" w:cs="方正小标宋简体"/>
          <w:b w:val="0"/>
          <w:color w:val="auto"/>
          <w:highlight w:val="none"/>
        </w:rPr>
        <w:t>决算情况说明</w:t>
      </w:r>
      <w:bookmarkEnd w:id="16"/>
      <w:bookmarkEnd w:id="17"/>
    </w:p>
    <w:p w14:paraId="4120C255">
      <w:pPr>
        <w:pStyle w:val="29"/>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1"/>
        <w:rPr>
          <w:rStyle w:val="31"/>
          <w:rFonts w:hint="eastAsia" w:ascii="Times New Roman" w:hAnsi="Times New Roman" w:eastAsia="黑体"/>
          <w:b w:val="0"/>
          <w:color w:val="auto"/>
          <w:highlight w:val="none"/>
        </w:rPr>
      </w:pPr>
      <w:bookmarkStart w:id="18" w:name="_Toc15377205"/>
      <w:bookmarkStart w:id="19" w:name="_Toc15396603"/>
      <w:r>
        <w:rPr>
          <w:rFonts w:hint="eastAsia" w:ascii="Times New Roman" w:hAnsi="Times New Roman" w:eastAsia="黑体"/>
          <w:color w:val="auto"/>
          <w:sz w:val="32"/>
          <w:szCs w:val="32"/>
          <w:highlight w:val="none"/>
          <w:lang w:eastAsia="zh-CN"/>
        </w:rPr>
        <w:t>一、</w:t>
      </w:r>
      <w:r>
        <w:rPr>
          <w:rFonts w:hint="eastAsia" w:ascii="Times New Roman" w:hAnsi="Times New Roman" w:eastAsia="黑体"/>
          <w:color w:val="auto"/>
          <w:sz w:val="32"/>
          <w:szCs w:val="32"/>
          <w:highlight w:val="none"/>
        </w:rPr>
        <w:t>收</w:t>
      </w:r>
      <w:r>
        <w:rPr>
          <w:rStyle w:val="31"/>
          <w:rFonts w:hint="eastAsia" w:ascii="Times New Roman" w:hAnsi="Times New Roman" w:eastAsia="黑体"/>
          <w:b w:val="0"/>
          <w:color w:val="auto"/>
          <w:highlight w:val="none"/>
        </w:rPr>
        <w:t>入支出决算总体情况说明</w:t>
      </w:r>
      <w:bookmarkEnd w:id="18"/>
      <w:bookmarkEnd w:id="19"/>
    </w:p>
    <w:p w14:paraId="101D3E7D">
      <w:pPr>
        <w:pStyle w:val="29"/>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1"/>
        <w:rPr>
          <w:rFonts w:hint="eastAsia"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lang w:eastAsia="zh-CN"/>
        </w:rPr>
        <w:t>2024年度收入</w:t>
      </w:r>
      <w:r>
        <w:rPr>
          <w:rFonts w:hint="eastAsia" w:ascii="Times New Roman" w:hAnsi="Times New Roman" w:eastAsia="仿宋_GB2312" w:cs="仿宋_GB2312"/>
          <w:color w:val="auto"/>
          <w:sz w:val="32"/>
          <w:szCs w:val="32"/>
          <w:highlight w:val="none"/>
        </w:rPr>
        <w:t>、</w:t>
      </w:r>
      <w:r>
        <w:rPr>
          <w:rFonts w:hint="eastAsia" w:ascii="Times New Roman" w:hAnsi="Times New Roman" w:eastAsia="仿宋_GB2312" w:cs="仿宋_GB2312"/>
          <w:color w:val="auto"/>
          <w:sz w:val="32"/>
          <w:szCs w:val="32"/>
          <w:highlight w:val="none"/>
          <w:lang w:eastAsia="zh-CN"/>
        </w:rPr>
        <w:t>支出</w:t>
      </w:r>
      <w:r>
        <w:rPr>
          <w:rFonts w:hint="eastAsia" w:ascii="Times New Roman" w:hAnsi="Times New Roman" w:eastAsia="仿宋_GB2312" w:cs="仿宋_GB2312"/>
          <w:color w:val="auto"/>
          <w:sz w:val="32"/>
          <w:szCs w:val="32"/>
          <w:highlight w:val="none"/>
        </w:rPr>
        <w:t>总计</w:t>
      </w:r>
      <w:r>
        <w:rPr>
          <w:rFonts w:hint="eastAsia" w:ascii="Times New Roman" w:hAnsi="Times New Roman" w:eastAsia="仿宋_GB2312" w:cs="仿宋_GB2312"/>
          <w:color w:val="auto"/>
          <w:sz w:val="32"/>
          <w:szCs w:val="32"/>
          <w:highlight w:val="none"/>
          <w:lang w:eastAsia="zh-CN"/>
        </w:rPr>
        <w:t>均为</w:t>
      </w:r>
      <w:r>
        <w:rPr>
          <w:rFonts w:hint="eastAsia" w:ascii="仿宋_GB2312" w:hAnsi="仿宋_GB2312" w:eastAsia="仿宋_GB2312" w:cs="仿宋_GB2312"/>
          <w:color w:val="auto"/>
          <w:sz w:val="32"/>
          <w:szCs w:val="32"/>
        </w:rPr>
        <w:t>320.52</w:t>
      </w:r>
      <w:r>
        <w:rPr>
          <w:rFonts w:hint="eastAsia" w:ascii="Times New Roman" w:hAnsi="Times New Roman" w:eastAsia="仿宋_GB2312" w:cs="仿宋_GB2312"/>
          <w:color w:val="auto"/>
          <w:sz w:val="32"/>
          <w:szCs w:val="32"/>
          <w:highlight w:val="none"/>
        </w:rPr>
        <w:t>万元。与</w:t>
      </w:r>
      <w:r>
        <w:rPr>
          <w:rFonts w:hint="eastAsia" w:ascii="Times New Roman" w:hAnsi="Times New Roman" w:eastAsia="仿宋_GB2312" w:cs="仿宋_GB2312"/>
          <w:color w:val="auto"/>
          <w:sz w:val="32"/>
          <w:szCs w:val="32"/>
          <w:highlight w:val="none"/>
          <w:lang w:eastAsia="zh-CN"/>
        </w:rPr>
        <w:t>202</w:t>
      </w:r>
      <w:r>
        <w:rPr>
          <w:rFonts w:hint="eastAsia" w:ascii="Times New Roman" w:hAnsi="Times New Roman" w:eastAsia="仿宋_GB2312" w:cs="仿宋_GB2312"/>
          <w:color w:val="auto"/>
          <w:sz w:val="32"/>
          <w:szCs w:val="32"/>
          <w:highlight w:val="none"/>
          <w:lang w:val="en-US" w:eastAsia="zh-CN"/>
        </w:rPr>
        <w:t>3</w:t>
      </w:r>
      <w:r>
        <w:rPr>
          <w:rFonts w:hint="eastAsia" w:ascii="Times New Roman" w:hAnsi="Times New Roman" w:eastAsia="仿宋_GB2312" w:cs="仿宋_GB2312"/>
          <w:color w:val="auto"/>
          <w:sz w:val="32"/>
          <w:szCs w:val="32"/>
          <w:highlight w:val="none"/>
        </w:rPr>
        <w:t>年</w:t>
      </w:r>
      <w:r>
        <w:rPr>
          <w:rFonts w:hint="eastAsia" w:ascii="Times New Roman" w:hAnsi="Times New Roman" w:eastAsia="仿宋_GB2312" w:cs="仿宋_GB2312"/>
          <w:color w:val="auto"/>
          <w:sz w:val="32"/>
          <w:szCs w:val="32"/>
          <w:highlight w:val="none"/>
          <w:lang w:eastAsia="zh-CN"/>
        </w:rPr>
        <w:t>度</w:t>
      </w:r>
      <w:r>
        <w:rPr>
          <w:rFonts w:hint="eastAsia" w:ascii="Times New Roman" w:hAnsi="Times New Roman" w:eastAsia="仿宋_GB2312" w:cs="仿宋_GB2312"/>
          <w:color w:val="auto"/>
          <w:sz w:val="32"/>
          <w:szCs w:val="32"/>
          <w:highlight w:val="none"/>
        </w:rPr>
        <w:t>相比，</w:t>
      </w:r>
      <w:r>
        <w:rPr>
          <w:rFonts w:hint="eastAsia" w:ascii="Times New Roman" w:hAnsi="Times New Roman" w:eastAsia="仿宋_GB2312" w:cs="仿宋_GB2312"/>
          <w:color w:val="auto"/>
          <w:sz w:val="32"/>
          <w:szCs w:val="32"/>
          <w:highlight w:val="none"/>
          <w:lang w:eastAsia="zh-CN"/>
        </w:rPr>
        <w:t>收入</w:t>
      </w:r>
      <w:r>
        <w:rPr>
          <w:rFonts w:hint="eastAsia" w:ascii="Times New Roman" w:hAnsi="Times New Roman" w:eastAsia="仿宋_GB2312" w:cs="仿宋_GB2312"/>
          <w:color w:val="auto"/>
          <w:sz w:val="32"/>
          <w:szCs w:val="32"/>
          <w:highlight w:val="none"/>
        </w:rPr>
        <w:t>、</w:t>
      </w:r>
      <w:r>
        <w:rPr>
          <w:rFonts w:hint="eastAsia" w:ascii="Times New Roman" w:hAnsi="Times New Roman" w:eastAsia="仿宋_GB2312" w:cs="仿宋_GB2312"/>
          <w:color w:val="auto"/>
          <w:sz w:val="32"/>
          <w:szCs w:val="32"/>
          <w:highlight w:val="none"/>
          <w:lang w:eastAsia="zh-CN"/>
        </w:rPr>
        <w:t>支出</w:t>
      </w:r>
      <w:r>
        <w:rPr>
          <w:rFonts w:hint="eastAsia" w:ascii="Times New Roman" w:hAnsi="Times New Roman" w:eastAsia="仿宋_GB2312" w:cs="仿宋_GB2312"/>
          <w:color w:val="auto"/>
          <w:sz w:val="32"/>
          <w:szCs w:val="32"/>
          <w:highlight w:val="none"/>
        </w:rPr>
        <w:t>总计各增加</w:t>
      </w:r>
      <w:r>
        <w:rPr>
          <w:rFonts w:hint="eastAsia" w:eastAsia="仿宋_GB2312" w:cs="仿宋_GB2312"/>
          <w:color w:val="auto"/>
          <w:sz w:val="32"/>
          <w:szCs w:val="32"/>
          <w:highlight w:val="none"/>
          <w:lang w:val="en-US" w:eastAsia="zh-CN"/>
        </w:rPr>
        <w:t>14.07</w:t>
      </w:r>
      <w:r>
        <w:rPr>
          <w:rFonts w:hint="eastAsia" w:ascii="Times New Roman" w:hAnsi="Times New Roman" w:eastAsia="仿宋_GB2312" w:cs="仿宋_GB2312"/>
          <w:color w:val="auto"/>
          <w:sz w:val="32"/>
          <w:szCs w:val="32"/>
          <w:highlight w:val="none"/>
        </w:rPr>
        <w:t>万元，增长</w:t>
      </w:r>
      <w:r>
        <w:rPr>
          <w:rFonts w:hint="eastAsia" w:eastAsia="仿宋_GB2312" w:cs="仿宋_GB2312"/>
          <w:color w:val="auto"/>
          <w:sz w:val="32"/>
          <w:szCs w:val="32"/>
          <w:highlight w:val="none"/>
          <w:lang w:val="en-US" w:eastAsia="zh-CN"/>
        </w:rPr>
        <w:t>4.6</w:t>
      </w:r>
      <w:r>
        <w:rPr>
          <w:rFonts w:hint="eastAsia" w:ascii="Times New Roman" w:hAnsi="Times New Roman" w:eastAsia="仿宋_GB2312" w:cs="仿宋_GB2312"/>
          <w:color w:val="auto"/>
          <w:sz w:val="32"/>
          <w:szCs w:val="32"/>
          <w:highlight w:val="none"/>
        </w:rPr>
        <w:t>%。主要变动原因是</w:t>
      </w:r>
      <w:r>
        <w:rPr>
          <w:rFonts w:hint="eastAsia" w:eastAsia="仿宋_GB2312" w:cs="仿宋_GB2312"/>
          <w:color w:val="auto"/>
          <w:sz w:val="32"/>
          <w:szCs w:val="32"/>
          <w:highlight w:val="none"/>
          <w:lang w:val="en-US" w:eastAsia="zh-CN"/>
        </w:rPr>
        <w:t>社会保险的基数调整、人员调资。</w:t>
      </w:r>
    </w:p>
    <w:p w14:paraId="4D1C6C11">
      <w:pPr>
        <w:pStyle w:val="29"/>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1"/>
        <w:rPr>
          <w:rFonts w:hint="eastAsia" w:eastAsia="仿宋_GB2312" w:cs="仿宋_GB2312"/>
          <w:color w:val="auto"/>
          <w:sz w:val="32"/>
          <w:szCs w:val="32"/>
          <w:highlight w:val="none"/>
          <w:lang w:val="en-US" w:eastAsia="zh-CN"/>
        </w:rPr>
      </w:pPr>
    </w:p>
    <w:p w14:paraId="3E6C8F90">
      <w:pPr>
        <w:pStyle w:val="29"/>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1"/>
        <w:rPr>
          <w:rFonts w:hint="eastAsia" w:eastAsia="仿宋_GB2312" w:cs="仿宋_GB2312"/>
          <w:color w:val="auto"/>
          <w:sz w:val="32"/>
          <w:szCs w:val="32"/>
          <w:highlight w:val="none"/>
          <w:lang w:val="en-US" w:eastAsia="zh-CN"/>
        </w:rPr>
      </w:pPr>
    </w:p>
    <w:p w14:paraId="3FABA50D">
      <w:pPr>
        <w:pStyle w:val="29"/>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1"/>
        <w:rPr>
          <w:rFonts w:hint="eastAsia" w:eastAsia="仿宋_GB2312" w:cs="仿宋_GB2312"/>
          <w:color w:val="auto"/>
          <w:sz w:val="32"/>
          <w:szCs w:val="32"/>
          <w:highlight w:val="none"/>
          <w:lang w:val="en-US" w:eastAsia="zh-CN"/>
        </w:rPr>
      </w:pPr>
    </w:p>
    <w:p w14:paraId="7DDA8A03">
      <w:pPr>
        <w:pStyle w:val="29"/>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1"/>
        <w:rPr>
          <w:rFonts w:hint="eastAsia" w:eastAsia="仿宋_GB2312" w:cs="仿宋_GB2312"/>
          <w:color w:val="auto"/>
          <w:sz w:val="32"/>
          <w:szCs w:val="32"/>
          <w:highlight w:val="none"/>
          <w:lang w:val="en-US" w:eastAsia="zh-CN"/>
        </w:rPr>
      </w:pPr>
    </w:p>
    <w:p w14:paraId="26953E02">
      <w:pPr>
        <w:pStyle w:val="29"/>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1"/>
        <w:rPr>
          <w:rFonts w:hint="eastAsia" w:eastAsia="仿宋_GB2312" w:cs="仿宋_GB2312"/>
          <w:color w:val="auto"/>
          <w:sz w:val="32"/>
          <w:szCs w:val="32"/>
          <w:highlight w:val="none"/>
          <w:lang w:val="en-US" w:eastAsia="zh-CN"/>
        </w:rPr>
      </w:pPr>
    </w:p>
    <w:p w14:paraId="11FCF6B9">
      <w:pPr>
        <w:pStyle w:val="29"/>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1"/>
        <w:rPr>
          <w:rFonts w:hint="eastAsia" w:eastAsia="仿宋_GB2312" w:cs="仿宋_GB2312"/>
          <w:color w:val="auto"/>
          <w:sz w:val="32"/>
          <w:szCs w:val="32"/>
          <w:highlight w:val="none"/>
          <w:lang w:val="en-US" w:eastAsia="zh-CN"/>
        </w:rPr>
      </w:pPr>
    </w:p>
    <w:p w14:paraId="260DE2CD">
      <w:pPr>
        <w:pStyle w:val="29"/>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1"/>
        <w:rPr>
          <w:rFonts w:hint="eastAsia" w:eastAsia="仿宋_GB2312" w:cs="仿宋_GB2312"/>
          <w:color w:val="auto"/>
          <w:sz w:val="32"/>
          <w:szCs w:val="32"/>
          <w:highlight w:val="none"/>
          <w:lang w:val="en-US" w:eastAsia="zh-CN"/>
        </w:rPr>
      </w:pPr>
    </w:p>
    <w:p w14:paraId="095B31DB">
      <w:pPr>
        <w:pStyle w:val="29"/>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1"/>
        <w:rPr>
          <w:rFonts w:hint="default" w:eastAsia="仿宋_GB2312" w:cs="仿宋_GB2312"/>
          <w:color w:val="auto"/>
          <w:sz w:val="32"/>
          <w:szCs w:val="32"/>
          <w:highlight w:val="none"/>
          <w:lang w:val="en-US" w:eastAsia="zh-CN"/>
        </w:rPr>
      </w:pPr>
    </w:p>
    <w:p w14:paraId="39ADBD89">
      <w:pPr>
        <w:pStyle w:val="29"/>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outlineLvl w:val="1"/>
        <w:rPr>
          <w:rFonts w:hint="default" w:eastAsia="仿宋_GB2312" w:cs="仿宋_GB2312"/>
          <w:color w:val="auto"/>
          <w:sz w:val="32"/>
          <w:szCs w:val="32"/>
          <w:highlight w:val="none"/>
          <w:lang w:val="en-US" w:eastAsia="zh-CN"/>
        </w:rPr>
      </w:pPr>
      <w:r>
        <w:rPr>
          <w:color w:val="auto"/>
        </w:rPr>
        <w:drawing>
          <wp:anchor distT="0" distB="0" distL="114300" distR="114300" simplePos="0" relativeHeight="251659264" behindDoc="0" locked="0" layoutInCell="1" allowOverlap="1">
            <wp:simplePos x="0" y="0"/>
            <wp:positionH relativeFrom="column">
              <wp:posOffset>271145</wp:posOffset>
            </wp:positionH>
            <wp:positionV relativeFrom="paragraph">
              <wp:posOffset>-2453005</wp:posOffset>
            </wp:positionV>
            <wp:extent cx="4826000" cy="2743200"/>
            <wp:effectExtent l="4445" t="4445" r="8255" b="14605"/>
            <wp:wrapNone/>
            <wp:docPr id="22" name="图表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p>
    <w:p w14:paraId="4086DA37">
      <w:pPr>
        <w:pStyle w:val="29"/>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outlineLvl w:val="1"/>
        <w:rPr>
          <w:rFonts w:hint="eastAsia" w:ascii="Times New Roman" w:hAnsi="Times New Roman" w:eastAsia="黑体"/>
          <w:color w:val="auto"/>
          <w:sz w:val="32"/>
          <w:szCs w:val="32"/>
          <w:highlight w:val="none"/>
          <w:lang w:eastAsia="zh-CN"/>
        </w:rPr>
      </w:pPr>
      <w:bookmarkStart w:id="20" w:name="_Toc15396604"/>
      <w:bookmarkStart w:id="21" w:name="_Toc15377206"/>
    </w:p>
    <w:p w14:paraId="07583EA9">
      <w:pPr>
        <w:pStyle w:val="29"/>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1"/>
        <w:rPr>
          <w:rFonts w:hint="eastAsia" w:ascii="Times New Roman" w:hAnsi="Times New Roman" w:eastAsia="黑体"/>
          <w:color w:val="auto"/>
          <w:sz w:val="32"/>
          <w:szCs w:val="32"/>
          <w:highlight w:val="none"/>
          <w:lang w:eastAsia="zh-CN"/>
        </w:rPr>
      </w:pPr>
      <w:r>
        <w:rPr>
          <w:rFonts w:hint="eastAsia" w:ascii="Times New Roman" w:hAnsi="Times New Roman" w:eastAsia="黑体"/>
          <w:color w:val="auto"/>
          <w:sz w:val="32"/>
          <w:szCs w:val="32"/>
          <w:highlight w:val="none"/>
          <w:lang w:eastAsia="zh-CN"/>
        </w:rPr>
        <w:t>二、收入决算情况说明</w:t>
      </w:r>
      <w:bookmarkEnd w:id="20"/>
      <w:bookmarkEnd w:id="21"/>
    </w:p>
    <w:p w14:paraId="3EB74530">
      <w:pPr>
        <w:pStyle w:val="29"/>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outlineLvl w:val="1"/>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2024年度本年收入合计</w:t>
      </w:r>
      <w:r>
        <w:rPr>
          <w:rFonts w:hint="eastAsia" w:ascii="仿宋_GB2312" w:hAnsi="仿宋_GB2312" w:eastAsia="仿宋_GB2312" w:cs="仿宋_GB2312"/>
          <w:color w:val="auto"/>
          <w:sz w:val="32"/>
          <w:szCs w:val="32"/>
        </w:rPr>
        <w:t>320.52万元，其中：一般公共预算财政拨款收入320.52</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color w:val="auto"/>
          <w:sz w:val="32"/>
          <w:szCs w:val="32"/>
        </w:rPr>
        <w:t>100</w:t>
      </w:r>
      <w:r>
        <w:rPr>
          <w:rFonts w:hint="eastAsia" w:ascii="仿宋_GB2312" w:hAnsi="仿宋_GB2312" w:eastAsia="仿宋_GB2312" w:cs="仿宋_GB2312"/>
          <w:color w:val="auto"/>
          <w:sz w:val="32"/>
          <w:szCs w:val="32"/>
          <w:highlight w:val="none"/>
          <w:lang w:eastAsia="zh-CN"/>
        </w:rPr>
        <w:t>%；政府性基金预算财政拨款收入</w:t>
      </w:r>
      <w:r>
        <w:rPr>
          <w:rFonts w:hint="eastAsia" w:ascii="仿宋_GB2312" w:hAnsi="仿宋_GB2312" w:eastAsia="仿宋_GB2312" w:cs="仿宋_GB2312"/>
          <w:color w:val="auto"/>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color w:val="auto"/>
          <w:sz w:val="32"/>
          <w:szCs w:val="32"/>
        </w:rPr>
        <w:t>0</w:t>
      </w:r>
      <w:r>
        <w:rPr>
          <w:rFonts w:hint="eastAsia" w:ascii="仿宋_GB2312" w:hAnsi="仿宋_GB2312" w:eastAsia="仿宋_GB2312" w:cs="仿宋_GB2312"/>
          <w:color w:val="auto"/>
          <w:sz w:val="32"/>
          <w:szCs w:val="32"/>
          <w:highlight w:val="none"/>
          <w:lang w:eastAsia="zh-CN"/>
        </w:rPr>
        <w:t>%；国有资本经营预算财政拨款收入</w:t>
      </w:r>
      <w:r>
        <w:rPr>
          <w:rFonts w:hint="eastAsia" w:ascii="仿宋_GB2312" w:hAnsi="仿宋_GB2312" w:eastAsia="仿宋_GB2312" w:cs="仿宋_GB2312"/>
          <w:color w:val="auto"/>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color w:val="auto"/>
          <w:sz w:val="32"/>
          <w:szCs w:val="32"/>
        </w:rPr>
        <w:t>0</w:t>
      </w:r>
      <w:r>
        <w:rPr>
          <w:rFonts w:hint="eastAsia" w:ascii="仿宋_GB2312" w:hAnsi="仿宋_GB2312" w:eastAsia="仿宋_GB2312" w:cs="仿宋_GB2312"/>
          <w:color w:val="auto"/>
          <w:sz w:val="32"/>
          <w:szCs w:val="32"/>
          <w:highlight w:val="none"/>
          <w:lang w:eastAsia="zh-CN"/>
        </w:rPr>
        <w:t>%；上级补助收入</w:t>
      </w:r>
      <w:r>
        <w:rPr>
          <w:rFonts w:hint="eastAsia" w:ascii="仿宋_GB2312" w:hAnsi="仿宋_GB2312" w:eastAsia="仿宋_GB2312" w:cs="仿宋_GB2312"/>
          <w:color w:val="auto"/>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color w:val="auto"/>
          <w:sz w:val="32"/>
          <w:szCs w:val="32"/>
        </w:rPr>
        <w:t>0</w:t>
      </w:r>
      <w:r>
        <w:rPr>
          <w:rFonts w:hint="eastAsia" w:ascii="仿宋_GB2312" w:hAnsi="仿宋_GB2312" w:eastAsia="仿宋_GB2312" w:cs="仿宋_GB2312"/>
          <w:color w:val="auto"/>
          <w:sz w:val="32"/>
          <w:szCs w:val="32"/>
          <w:highlight w:val="none"/>
          <w:lang w:eastAsia="zh-CN"/>
        </w:rPr>
        <w:t>%；事业收入</w:t>
      </w:r>
      <w:r>
        <w:rPr>
          <w:rFonts w:hint="eastAsia" w:ascii="仿宋_GB2312" w:hAnsi="仿宋_GB2312" w:eastAsia="仿宋_GB2312" w:cs="仿宋_GB2312"/>
          <w:color w:val="auto"/>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color w:val="auto"/>
          <w:sz w:val="32"/>
          <w:szCs w:val="32"/>
        </w:rPr>
        <w:t>0</w:t>
      </w:r>
      <w:r>
        <w:rPr>
          <w:rFonts w:hint="eastAsia" w:ascii="仿宋_GB2312" w:hAnsi="仿宋_GB2312" w:eastAsia="仿宋_GB2312" w:cs="仿宋_GB2312"/>
          <w:color w:val="auto"/>
          <w:sz w:val="32"/>
          <w:szCs w:val="32"/>
          <w:highlight w:val="none"/>
          <w:lang w:eastAsia="zh-CN"/>
        </w:rPr>
        <w:t>%；经营收入</w:t>
      </w:r>
      <w:r>
        <w:rPr>
          <w:rFonts w:hint="eastAsia" w:ascii="仿宋_GB2312" w:hAnsi="仿宋_GB2312" w:eastAsia="仿宋_GB2312" w:cs="仿宋_GB2312"/>
          <w:color w:val="auto"/>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color w:val="auto"/>
          <w:sz w:val="32"/>
          <w:szCs w:val="32"/>
        </w:rPr>
        <w:t>0</w:t>
      </w:r>
      <w:r>
        <w:rPr>
          <w:rFonts w:hint="eastAsia" w:ascii="仿宋_GB2312" w:hAnsi="仿宋_GB2312" w:eastAsia="仿宋_GB2312" w:cs="仿宋_GB2312"/>
          <w:color w:val="auto"/>
          <w:sz w:val="32"/>
          <w:szCs w:val="32"/>
          <w:highlight w:val="none"/>
          <w:lang w:eastAsia="zh-CN"/>
        </w:rPr>
        <w:t>%；附属单位上缴收入</w:t>
      </w:r>
      <w:r>
        <w:rPr>
          <w:rFonts w:hint="eastAsia" w:ascii="仿宋_GB2312" w:hAnsi="仿宋_GB2312" w:eastAsia="仿宋_GB2312" w:cs="仿宋_GB2312"/>
          <w:color w:val="auto"/>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color w:val="auto"/>
          <w:sz w:val="32"/>
          <w:szCs w:val="32"/>
        </w:rPr>
        <w:t>0</w:t>
      </w:r>
      <w:r>
        <w:rPr>
          <w:rFonts w:hint="eastAsia" w:ascii="仿宋_GB2312" w:hAnsi="仿宋_GB2312" w:eastAsia="仿宋_GB2312" w:cs="仿宋_GB2312"/>
          <w:color w:val="auto"/>
          <w:sz w:val="32"/>
          <w:szCs w:val="32"/>
          <w:highlight w:val="none"/>
          <w:lang w:eastAsia="zh-CN"/>
        </w:rPr>
        <w:t>%；其他收入</w:t>
      </w:r>
      <w:r>
        <w:rPr>
          <w:rFonts w:hint="eastAsia" w:ascii="仿宋_GB2312" w:hAnsi="仿宋_GB2312" w:eastAsia="仿宋_GB2312" w:cs="仿宋_GB2312"/>
          <w:color w:val="auto"/>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color w:val="auto"/>
          <w:sz w:val="32"/>
          <w:szCs w:val="32"/>
        </w:rPr>
        <w:t>0</w:t>
      </w:r>
      <w:r>
        <w:rPr>
          <w:rFonts w:hint="eastAsia" w:ascii="仿宋_GB2312" w:hAnsi="仿宋_GB2312" w:eastAsia="仿宋_GB2312" w:cs="仿宋_GB2312"/>
          <w:color w:val="auto"/>
          <w:sz w:val="32"/>
          <w:szCs w:val="32"/>
          <w:highlight w:val="none"/>
          <w:lang w:eastAsia="zh-CN"/>
        </w:rPr>
        <w:t>%。</w:t>
      </w:r>
    </w:p>
    <w:p w14:paraId="057C8A95">
      <w:pPr>
        <w:pStyle w:val="29"/>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outlineLvl w:val="1"/>
        <w:rPr>
          <w:rFonts w:hint="eastAsia" w:ascii="仿宋_GB2312" w:hAnsi="仿宋_GB2312" w:eastAsia="仿宋_GB2312" w:cs="仿宋_GB2312"/>
          <w:color w:val="auto"/>
          <w:sz w:val="32"/>
          <w:szCs w:val="32"/>
          <w:highlight w:val="none"/>
          <w:lang w:eastAsia="zh-CN"/>
        </w:rPr>
      </w:pPr>
      <w:r>
        <w:rPr>
          <w:rFonts w:hint="eastAsia" w:ascii="Times New Roman" w:hAnsi="Times New Roman" w:eastAsia="仿宋_GB2312" w:cs="仿宋_GB2312"/>
          <w:color w:val="auto"/>
          <w:sz w:val="32"/>
          <w:szCs w:val="32"/>
          <w:highlight w:val="none"/>
          <w:lang w:eastAsia="zh-CN"/>
        </w:rPr>
        <w:drawing>
          <wp:anchor distT="0" distB="0" distL="114300" distR="114300" simplePos="0" relativeHeight="251660288" behindDoc="0" locked="0" layoutInCell="1" allowOverlap="1">
            <wp:simplePos x="0" y="0"/>
            <wp:positionH relativeFrom="column">
              <wp:posOffset>401955</wp:posOffset>
            </wp:positionH>
            <wp:positionV relativeFrom="paragraph">
              <wp:posOffset>71120</wp:posOffset>
            </wp:positionV>
            <wp:extent cx="4552950" cy="2474595"/>
            <wp:effectExtent l="4445" t="4445" r="14605" b="16510"/>
            <wp:wrapNone/>
            <wp:docPr id="23" name="图表 2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p>
    <w:p w14:paraId="422FE8E4">
      <w:pPr>
        <w:pStyle w:val="29"/>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outlineLvl w:val="1"/>
        <w:rPr>
          <w:rFonts w:hint="eastAsia" w:ascii="Times New Roman" w:hAnsi="Times New Roman" w:eastAsia="黑体"/>
          <w:color w:val="auto"/>
          <w:sz w:val="32"/>
          <w:szCs w:val="32"/>
          <w:highlight w:val="none"/>
          <w:lang w:eastAsia="zh-CN"/>
        </w:rPr>
      </w:pPr>
      <w:bookmarkStart w:id="22" w:name="_Toc15396605"/>
      <w:bookmarkStart w:id="23" w:name="_Toc15377207"/>
    </w:p>
    <w:p w14:paraId="5521448C">
      <w:pPr>
        <w:pStyle w:val="29"/>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outlineLvl w:val="1"/>
        <w:rPr>
          <w:rFonts w:hint="eastAsia" w:ascii="Times New Roman" w:hAnsi="Times New Roman" w:eastAsia="黑体"/>
          <w:color w:val="auto"/>
          <w:sz w:val="32"/>
          <w:szCs w:val="32"/>
          <w:highlight w:val="none"/>
          <w:lang w:eastAsia="zh-CN"/>
        </w:rPr>
      </w:pPr>
    </w:p>
    <w:p w14:paraId="06C83F31">
      <w:pPr>
        <w:pStyle w:val="29"/>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outlineLvl w:val="1"/>
        <w:rPr>
          <w:rFonts w:hint="eastAsia" w:ascii="Times New Roman" w:hAnsi="Times New Roman" w:eastAsia="黑体"/>
          <w:color w:val="auto"/>
          <w:sz w:val="32"/>
          <w:szCs w:val="32"/>
          <w:highlight w:val="none"/>
          <w:lang w:eastAsia="zh-CN"/>
        </w:rPr>
      </w:pPr>
    </w:p>
    <w:p w14:paraId="21254F1E">
      <w:pPr>
        <w:pStyle w:val="29"/>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outlineLvl w:val="1"/>
        <w:rPr>
          <w:rFonts w:hint="eastAsia" w:ascii="Times New Roman" w:hAnsi="Times New Roman" w:eastAsia="黑体"/>
          <w:color w:val="auto"/>
          <w:sz w:val="32"/>
          <w:szCs w:val="32"/>
          <w:highlight w:val="none"/>
          <w:lang w:eastAsia="zh-CN"/>
        </w:rPr>
      </w:pPr>
    </w:p>
    <w:p w14:paraId="28AFF27C">
      <w:pPr>
        <w:pStyle w:val="29"/>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outlineLvl w:val="1"/>
        <w:rPr>
          <w:rFonts w:hint="eastAsia" w:ascii="Times New Roman" w:hAnsi="Times New Roman" w:eastAsia="黑体"/>
          <w:color w:val="auto"/>
          <w:sz w:val="32"/>
          <w:szCs w:val="32"/>
          <w:highlight w:val="none"/>
          <w:lang w:eastAsia="zh-CN"/>
        </w:rPr>
      </w:pPr>
    </w:p>
    <w:p w14:paraId="05B1AE46">
      <w:pPr>
        <w:pStyle w:val="29"/>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outlineLvl w:val="1"/>
        <w:rPr>
          <w:rFonts w:hint="eastAsia" w:ascii="Times New Roman" w:hAnsi="Times New Roman" w:eastAsia="黑体"/>
          <w:color w:val="auto"/>
          <w:sz w:val="32"/>
          <w:szCs w:val="32"/>
          <w:highlight w:val="none"/>
          <w:lang w:eastAsia="zh-CN"/>
        </w:rPr>
      </w:pPr>
    </w:p>
    <w:p w14:paraId="7EF6BD7C">
      <w:pPr>
        <w:pStyle w:val="29"/>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1"/>
        <w:rPr>
          <w:rStyle w:val="31"/>
          <w:rFonts w:hint="eastAsia" w:ascii="Times New Roman" w:hAnsi="Times New Roman" w:eastAsia="黑体"/>
          <w:b w:val="0"/>
          <w:color w:val="auto"/>
          <w:highlight w:val="none"/>
        </w:rPr>
      </w:pPr>
      <w:r>
        <w:rPr>
          <w:rFonts w:hint="eastAsia" w:ascii="Times New Roman" w:hAnsi="Times New Roman" w:eastAsia="黑体"/>
          <w:color w:val="auto"/>
          <w:sz w:val="32"/>
          <w:szCs w:val="32"/>
          <w:highlight w:val="none"/>
          <w:lang w:eastAsia="zh-CN"/>
        </w:rPr>
        <w:t>三、</w:t>
      </w:r>
      <w:r>
        <w:rPr>
          <w:rFonts w:hint="eastAsia" w:ascii="Times New Roman" w:hAnsi="Times New Roman" w:eastAsia="黑体"/>
          <w:color w:val="auto"/>
          <w:sz w:val="32"/>
          <w:szCs w:val="32"/>
          <w:highlight w:val="none"/>
        </w:rPr>
        <w:t>支</w:t>
      </w:r>
      <w:r>
        <w:rPr>
          <w:rStyle w:val="31"/>
          <w:rFonts w:hint="eastAsia" w:ascii="Times New Roman" w:hAnsi="Times New Roman" w:eastAsia="黑体"/>
          <w:b w:val="0"/>
          <w:color w:val="auto"/>
          <w:highlight w:val="none"/>
        </w:rPr>
        <w:t>出决算情况说明</w:t>
      </w:r>
      <w:bookmarkEnd w:id="22"/>
      <w:bookmarkEnd w:id="23"/>
    </w:p>
    <w:p w14:paraId="438599A5">
      <w:pPr>
        <w:pStyle w:val="29"/>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outlineLvl w:val="1"/>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2024年度本年支出合计</w:t>
      </w:r>
      <w:r>
        <w:rPr>
          <w:rFonts w:hint="eastAsia" w:ascii="仿宋_GB2312" w:hAnsi="仿宋_GB2312" w:eastAsia="仿宋_GB2312" w:cs="仿宋_GB2312"/>
          <w:color w:val="auto"/>
          <w:sz w:val="32"/>
          <w:szCs w:val="32"/>
        </w:rPr>
        <w:t>320.52</w:t>
      </w:r>
      <w:r>
        <w:rPr>
          <w:rFonts w:hint="eastAsia" w:ascii="仿宋_GB2312" w:hAnsi="仿宋_GB2312" w:eastAsia="仿宋_GB2312" w:cs="仿宋_GB2312"/>
          <w:color w:val="auto"/>
          <w:sz w:val="32"/>
          <w:szCs w:val="32"/>
          <w:highlight w:val="none"/>
          <w:lang w:eastAsia="zh-CN"/>
        </w:rPr>
        <w:t>万元，其中：基本支出</w:t>
      </w:r>
      <w:r>
        <w:rPr>
          <w:rFonts w:hint="eastAsia" w:ascii="仿宋_GB2312" w:hAnsi="仿宋_GB2312" w:eastAsia="仿宋_GB2312" w:cs="仿宋_GB2312"/>
          <w:color w:val="auto"/>
          <w:sz w:val="32"/>
          <w:szCs w:val="32"/>
        </w:rPr>
        <w:t>148.05</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color w:val="auto"/>
          <w:sz w:val="32"/>
          <w:szCs w:val="32"/>
        </w:rPr>
        <w:t>46.</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highlight w:val="none"/>
          <w:lang w:eastAsia="zh-CN"/>
        </w:rPr>
        <w:t>%；项目支出</w:t>
      </w:r>
      <w:r>
        <w:rPr>
          <w:rFonts w:hint="eastAsia" w:ascii="仿宋_GB2312" w:hAnsi="仿宋_GB2312" w:eastAsia="仿宋_GB2312" w:cs="仿宋_GB2312"/>
          <w:color w:val="auto"/>
          <w:sz w:val="32"/>
          <w:szCs w:val="32"/>
        </w:rPr>
        <w:t>172.47</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color w:val="auto"/>
          <w:sz w:val="32"/>
          <w:szCs w:val="32"/>
        </w:rPr>
        <w:t>53.8</w:t>
      </w:r>
      <w:r>
        <w:rPr>
          <w:rFonts w:hint="eastAsia" w:ascii="仿宋_GB2312" w:hAnsi="仿宋_GB2312" w:eastAsia="仿宋_GB2312" w:cs="仿宋_GB2312"/>
          <w:color w:val="auto"/>
          <w:sz w:val="32"/>
          <w:szCs w:val="32"/>
          <w:highlight w:val="none"/>
          <w:lang w:eastAsia="zh-CN"/>
        </w:rPr>
        <w:t>%；上缴上级支出</w:t>
      </w:r>
      <w:r>
        <w:rPr>
          <w:rFonts w:hint="eastAsia" w:ascii="仿宋_GB2312" w:hAnsi="仿宋_GB2312" w:eastAsia="仿宋_GB2312" w:cs="仿宋_GB2312"/>
          <w:color w:val="auto"/>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color w:val="auto"/>
          <w:sz w:val="32"/>
          <w:szCs w:val="32"/>
        </w:rPr>
        <w:t>0</w:t>
      </w:r>
      <w:r>
        <w:rPr>
          <w:rFonts w:hint="eastAsia" w:ascii="仿宋_GB2312" w:hAnsi="仿宋_GB2312" w:eastAsia="仿宋_GB2312" w:cs="仿宋_GB2312"/>
          <w:color w:val="auto"/>
          <w:sz w:val="32"/>
          <w:szCs w:val="32"/>
          <w:highlight w:val="none"/>
          <w:lang w:eastAsia="zh-CN"/>
        </w:rPr>
        <w:t>%；经营支出</w:t>
      </w:r>
      <w:r>
        <w:rPr>
          <w:rFonts w:hint="eastAsia" w:ascii="仿宋_GB2312" w:hAnsi="仿宋_GB2312" w:eastAsia="仿宋_GB2312" w:cs="仿宋_GB2312"/>
          <w:color w:val="auto"/>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color w:val="auto"/>
          <w:sz w:val="32"/>
          <w:szCs w:val="32"/>
        </w:rPr>
        <w:t>0</w:t>
      </w:r>
      <w:r>
        <w:rPr>
          <w:rFonts w:hint="eastAsia" w:ascii="仿宋_GB2312" w:hAnsi="仿宋_GB2312" w:eastAsia="仿宋_GB2312" w:cs="仿宋_GB2312"/>
          <w:color w:val="auto"/>
          <w:sz w:val="32"/>
          <w:szCs w:val="32"/>
          <w:highlight w:val="none"/>
          <w:lang w:eastAsia="zh-CN"/>
        </w:rPr>
        <w:t>%；对附属单位补助支出</w:t>
      </w:r>
      <w:r>
        <w:rPr>
          <w:rFonts w:hint="eastAsia" w:ascii="仿宋_GB2312" w:hAnsi="仿宋_GB2312" w:eastAsia="仿宋_GB2312" w:cs="仿宋_GB2312"/>
          <w:color w:val="auto"/>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color w:val="auto"/>
          <w:sz w:val="32"/>
          <w:szCs w:val="32"/>
        </w:rPr>
        <w:t>0%</w:t>
      </w:r>
      <w:r>
        <w:rPr>
          <w:rFonts w:hint="eastAsia" w:ascii="仿宋_GB2312" w:hAnsi="仿宋_GB2312" w:eastAsia="仿宋_GB2312" w:cs="仿宋_GB2312"/>
          <w:color w:val="auto"/>
          <w:sz w:val="32"/>
          <w:szCs w:val="32"/>
          <w:highlight w:val="none"/>
          <w:lang w:eastAsia="zh-CN"/>
        </w:rPr>
        <w:t>。</w:t>
      </w:r>
    </w:p>
    <w:p w14:paraId="09B9F260">
      <w:pPr>
        <w:pStyle w:val="29"/>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420" w:firstLineChars="200"/>
        <w:jc w:val="left"/>
        <w:textAlignment w:val="auto"/>
        <w:outlineLvl w:val="1"/>
        <w:rPr>
          <w:rFonts w:hint="eastAsia" w:ascii="仿宋_GB2312" w:hAnsi="仿宋_GB2312" w:eastAsia="仿宋_GB2312" w:cs="仿宋_GB2312"/>
          <w:color w:val="auto"/>
          <w:sz w:val="32"/>
          <w:szCs w:val="32"/>
          <w:highlight w:val="none"/>
          <w:lang w:eastAsia="zh-CN"/>
        </w:rPr>
      </w:pPr>
      <w:r>
        <w:rPr>
          <w:color w:val="auto"/>
        </w:rPr>
        <w:drawing>
          <wp:anchor distT="0" distB="0" distL="114300" distR="114300" simplePos="0" relativeHeight="251661312" behindDoc="0" locked="0" layoutInCell="1" allowOverlap="1">
            <wp:simplePos x="0" y="0"/>
            <wp:positionH relativeFrom="column">
              <wp:posOffset>461645</wp:posOffset>
            </wp:positionH>
            <wp:positionV relativeFrom="paragraph">
              <wp:posOffset>271145</wp:posOffset>
            </wp:positionV>
            <wp:extent cx="4225925" cy="2104390"/>
            <wp:effectExtent l="4445" t="4445" r="17780" b="5715"/>
            <wp:wrapNone/>
            <wp:docPr id="24"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p>
    <w:p w14:paraId="2A27C96B">
      <w:pPr>
        <w:pStyle w:val="29"/>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outlineLvl w:val="1"/>
        <w:rPr>
          <w:rFonts w:hint="eastAsia" w:ascii="仿宋_GB2312" w:hAnsi="仿宋_GB2312" w:eastAsia="仿宋_GB2312" w:cs="仿宋_GB2312"/>
          <w:color w:val="auto"/>
          <w:sz w:val="32"/>
          <w:szCs w:val="32"/>
          <w:highlight w:val="none"/>
          <w:lang w:eastAsia="zh-CN"/>
        </w:rPr>
      </w:pPr>
    </w:p>
    <w:p w14:paraId="1EB1B38D">
      <w:pPr>
        <w:pStyle w:val="29"/>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outlineLvl w:val="1"/>
        <w:rPr>
          <w:rFonts w:hint="eastAsia" w:ascii="仿宋_GB2312" w:hAnsi="仿宋_GB2312" w:eastAsia="仿宋_GB2312" w:cs="仿宋_GB2312"/>
          <w:color w:val="auto"/>
          <w:sz w:val="32"/>
          <w:szCs w:val="32"/>
          <w:highlight w:val="none"/>
          <w:lang w:eastAsia="zh-CN"/>
        </w:rPr>
      </w:pPr>
    </w:p>
    <w:p w14:paraId="2EF64C13">
      <w:pPr>
        <w:pStyle w:val="29"/>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outlineLvl w:val="1"/>
        <w:rPr>
          <w:rFonts w:hint="eastAsia" w:ascii="仿宋_GB2312" w:hAnsi="仿宋_GB2312" w:eastAsia="仿宋_GB2312" w:cs="仿宋_GB2312"/>
          <w:color w:val="auto"/>
          <w:sz w:val="32"/>
          <w:szCs w:val="32"/>
          <w:highlight w:val="none"/>
          <w:lang w:eastAsia="zh-CN"/>
        </w:rPr>
      </w:pPr>
    </w:p>
    <w:p w14:paraId="492B8EF3">
      <w:pPr>
        <w:pStyle w:val="29"/>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outlineLvl w:val="1"/>
        <w:rPr>
          <w:rFonts w:hint="eastAsia" w:ascii="仿宋_GB2312" w:hAnsi="仿宋_GB2312" w:eastAsia="仿宋_GB2312" w:cs="仿宋_GB2312"/>
          <w:color w:val="auto"/>
          <w:sz w:val="32"/>
          <w:szCs w:val="32"/>
          <w:highlight w:val="none"/>
          <w:lang w:eastAsia="zh-CN"/>
        </w:rPr>
      </w:pPr>
    </w:p>
    <w:p w14:paraId="4C740E04">
      <w:pPr>
        <w:pStyle w:val="29"/>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outlineLvl w:val="1"/>
        <w:rPr>
          <w:rFonts w:hint="eastAsia" w:ascii="仿宋_GB2312" w:hAnsi="仿宋_GB2312" w:eastAsia="仿宋_GB2312" w:cs="仿宋_GB2312"/>
          <w:color w:val="auto"/>
          <w:sz w:val="32"/>
          <w:szCs w:val="32"/>
          <w:highlight w:val="none"/>
          <w:lang w:eastAsia="zh-CN"/>
        </w:rPr>
      </w:pPr>
    </w:p>
    <w:p w14:paraId="13D95F0D">
      <w:pPr>
        <w:rPr>
          <w:rFonts w:hint="eastAsia" w:ascii="Times New Roman" w:hAnsi="Times New Roman" w:eastAsia="仿宋_GB2312" w:cs="仿宋_GB2312"/>
          <w:color w:val="auto"/>
          <w:sz w:val="32"/>
          <w:szCs w:val="32"/>
          <w:highlight w:val="none"/>
          <w:lang w:eastAsia="zh-CN"/>
        </w:rPr>
      </w:pPr>
    </w:p>
    <w:p w14:paraId="6E069357">
      <w:pPr>
        <w:spacing w:line="600" w:lineRule="exact"/>
        <w:ind w:firstLine="640" w:firstLineChars="200"/>
        <w:outlineLvl w:val="1"/>
        <w:rPr>
          <w:rStyle w:val="31"/>
          <w:rFonts w:ascii="Times New Roman" w:hAnsi="Times New Roman" w:eastAsia="黑体"/>
          <w:b w:val="0"/>
          <w:color w:val="auto"/>
          <w:highlight w:val="none"/>
        </w:rPr>
      </w:pPr>
      <w:bookmarkStart w:id="24" w:name="_Toc15377208"/>
      <w:bookmarkStart w:id="25" w:name="_Toc15396606"/>
      <w:r>
        <w:rPr>
          <w:rFonts w:hint="eastAsia" w:ascii="Times New Roman" w:hAnsi="Times New Roman" w:eastAsia="黑体"/>
          <w:color w:val="auto"/>
          <w:sz w:val="32"/>
          <w:szCs w:val="32"/>
          <w:highlight w:val="none"/>
        </w:rPr>
        <w:t>四、财</w:t>
      </w:r>
      <w:r>
        <w:rPr>
          <w:rStyle w:val="31"/>
          <w:rFonts w:hint="eastAsia" w:ascii="Times New Roman" w:hAnsi="Times New Roman" w:eastAsia="黑体"/>
          <w:b w:val="0"/>
          <w:color w:val="auto"/>
          <w:highlight w:val="none"/>
        </w:rPr>
        <w:t>政拨款收入支出决算总体情况说明</w:t>
      </w:r>
      <w:bookmarkEnd w:id="24"/>
      <w:bookmarkEnd w:id="25"/>
    </w:p>
    <w:p w14:paraId="099FD7E3">
      <w:pPr>
        <w:spacing w:line="600" w:lineRule="exact"/>
        <w:ind w:firstLine="640"/>
        <w:rPr>
          <w:rFonts w:hint="eastAsia"/>
          <w:color w:val="auto"/>
          <w:lang w:val="en-US" w:eastAsia="zh-CN"/>
        </w:rPr>
      </w:pPr>
      <w:r>
        <w:rPr>
          <w:rFonts w:hint="eastAsia" w:ascii="Times New Roman" w:hAnsi="Times New Roman" w:eastAsia="仿宋_GB2312" w:cs="仿宋_GB2312"/>
          <w:color w:val="auto"/>
          <w:kern w:val="2"/>
          <w:sz w:val="32"/>
          <w:szCs w:val="32"/>
          <w:highlight w:val="none"/>
          <w:lang w:val="en-US" w:eastAsia="zh-CN" w:bidi="ar-SA"/>
        </w:rPr>
        <w:t>2024年度财政拨款收入、支出总计均为</w:t>
      </w:r>
      <w:r>
        <w:rPr>
          <w:rFonts w:hint="eastAsia" w:ascii="仿宋_GB2312" w:hAnsi="仿宋_GB2312" w:eastAsia="仿宋_GB2312" w:cs="仿宋_GB2312"/>
          <w:color w:val="auto"/>
          <w:sz w:val="32"/>
          <w:szCs w:val="32"/>
        </w:rPr>
        <w:t>320.52</w:t>
      </w:r>
      <w:r>
        <w:rPr>
          <w:rFonts w:hint="eastAsia" w:ascii="Times New Roman" w:hAnsi="Times New Roman" w:eastAsia="仿宋_GB2312" w:cs="仿宋_GB2312"/>
          <w:color w:val="auto"/>
          <w:kern w:val="2"/>
          <w:sz w:val="32"/>
          <w:szCs w:val="32"/>
          <w:highlight w:val="none"/>
          <w:lang w:val="en-US" w:eastAsia="zh-CN" w:bidi="ar-SA"/>
        </w:rPr>
        <w:t>万元。与2023年度相比，财政拨款收入总计、支出总计各增加</w:t>
      </w:r>
      <w:r>
        <w:rPr>
          <w:rFonts w:hint="eastAsia" w:eastAsia="仿宋_GB2312" w:cs="仿宋_GB2312"/>
          <w:color w:val="auto"/>
          <w:sz w:val="32"/>
          <w:szCs w:val="32"/>
          <w:highlight w:val="none"/>
          <w:lang w:val="en-US" w:eastAsia="zh-CN"/>
        </w:rPr>
        <w:t>14.07</w:t>
      </w:r>
      <w:r>
        <w:rPr>
          <w:rFonts w:hint="eastAsia" w:ascii="Times New Roman" w:hAnsi="Times New Roman" w:eastAsia="仿宋_GB2312" w:cs="仿宋_GB2312"/>
          <w:color w:val="auto"/>
          <w:kern w:val="2"/>
          <w:sz w:val="32"/>
          <w:szCs w:val="32"/>
          <w:highlight w:val="none"/>
          <w:lang w:val="en-US" w:eastAsia="zh-CN" w:bidi="ar-SA"/>
        </w:rPr>
        <w:t>万元，增长</w:t>
      </w:r>
      <w:r>
        <w:rPr>
          <w:rFonts w:hint="eastAsia" w:eastAsia="仿宋_GB2312" w:cs="仿宋_GB2312"/>
          <w:color w:val="auto"/>
          <w:sz w:val="32"/>
          <w:szCs w:val="32"/>
          <w:highlight w:val="none"/>
          <w:lang w:val="en-US" w:eastAsia="zh-CN"/>
        </w:rPr>
        <w:t>4.6</w:t>
      </w:r>
      <w:r>
        <w:rPr>
          <w:rFonts w:hint="eastAsia" w:ascii="Times New Roman" w:hAnsi="Times New Roman" w:eastAsia="仿宋_GB2312" w:cs="仿宋_GB2312"/>
          <w:color w:val="auto"/>
          <w:sz w:val="32"/>
          <w:szCs w:val="32"/>
          <w:highlight w:val="none"/>
        </w:rPr>
        <w:t>%</w:t>
      </w:r>
      <w:r>
        <w:rPr>
          <w:rFonts w:hint="eastAsia" w:ascii="Times New Roman" w:hAnsi="Times New Roman" w:eastAsia="仿宋_GB2312" w:cs="仿宋_GB2312"/>
          <w:color w:val="auto"/>
          <w:kern w:val="2"/>
          <w:sz w:val="32"/>
          <w:szCs w:val="32"/>
          <w:highlight w:val="none"/>
          <w:lang w:val="en-US" w:eastAsia="zh-CN" w:bidi="ar-SA"/>
        </w:rPr>
        <w:t>。主要变动原因是</w:t>
      </w:r>
      <w:r>
        <w:rPr>
          <w:rFonts w:hint="eastAsia" w:eastAsia="仿宋_GB2312" w:cs="仿宋_GB2312"/>
          <w:color w:val="auto"/>
          <w:sz w:val="32"/>
          <w:szCs w:val="32"/>
          <w:highlight w:val="none"/>
          <w:lang w:val="en-US" w:eastAsia="zh-CN"/>
        </w:rPr>
        <w:t>社会保险的基数调整、人员调资。</w:t>
      </w:r>
    </w:p>
    <w:p w14:paraId="2A692011">
      <w:pPr>
        <w:rPr>
          <w:rFonts w:hint="eastAsia" w:ascii="Times New Roman" w:hAnsi="Times New Roman" w:eastAsia="仿宋_GB2312" w:cs="仿宋_GB2312"/>
          <w:color w:val="auto"/>
          <w:kern w:val="2"/>
          <w:sz w:val="32"/>
          <w:szCs w:val="32"/>
          <w:highlight w:val="none"/>
          <w:lang w:val="en-US" w:eastAsia="zh-CN" w:bidi="ar-SA"/>
        </w:rPr>
      </w:pPr>
      <w:r>
        <w:rPr>
          <w:color w:val="auto"/>
        </w:rPr>
        <w:drawing>
          <wp:inline distT="0" distB="0" distL="114300" distR="114300">
            <wp:extent cx="4826000" cy="2743200"/>
            <wp:effectExtent l="4445" t="4445" r="8255" b="14605"/>
            <wp:docPr id="25" name="图表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524EAFA5">
      <w:pPr>
        <w:spacing w:line="600" w:lineRule="exact"/>
        <w:ind w:firstLine="640" w:firstLineChars="200"/>
        <w:outlineLvl w:val="1"/>
        <w:rPr>
          <w:rStyle w:val="31"/>
          <w:rFonts w:ascii="Times New Roman" w:hAnsi="Times New Roman" w:eastAsia="黑体"/>
          <w:b w:val="0"/>
          <w:color w:val="auto"/>
          <w:highlight w:val="none"/>
        </w:rPr>
      </w:pPr>
      <w:bookmarkStart w:id="26" w:name="_Toc15396607"/>
      <w:bookmarkStart w:id="27" w:name="_Toc15377209"/>
      <w:r>
        <w:rPr>
          <w:rFonts w:hint="eastAsia" w:ascii="Times New Roman" w:hAnsi="Times New Roman" w:eastAsia="黑体"/>
          <w:color w:val="auto"/>
          <w:sz w:val="32"/>
          <w:szCs w:val="32"/>
          <w:highlight w:val="none"/>
        </w:rPr>
        <w:t>五、</w:t>
      </w:r>
      <w:r>
        <w:rPr>
          <w:rFonts w:hint="eastAsia" w:ascii="Times New Roman" w:hAnsi="Times New Roman" w:eastAsia="黑体"/>
          <w:b/>
          <w:color w:val="auto"/>
          <w:sz w:val="32"/>
          <w:szCs w:val="32"/>
          <w:highlight w:val="none"/>
        </w:rPr>
        <w:t>一</w:t>
      </w:r>
      <w:r>
        <w:rPr>
          <w:rStyle w:val="31"/>
          <w:rFonts w:hint="eastAsia" w:ascii="Times New Roman" w:hAnsi="Times New Roman" w:eastAsia="黑体"/>
          <w:b w:val="0"/>
          <w:color w:val="auto"/>
          <w:highlight w:val="none"/>
        </w:rPr>
        <w:t>般公共预算财政拨款支出决算情况说明</w:t>
      </w:r>
      <w:bookmarkEnd w:id="26"/>
      <w:bookmarkEnd w:id="27"/>
    </w:p>
    <w:p w14:paraId="4AB22728">
      <w:pPr>
        <w:spacing w:line="600" w:lineRule="exact"/>
        <w:ind w:firstLine="643" w:firstLineChars="200"/>
        <w:outlineLvl w:val="2"/>
        <w:rPr>
          <w:rFonts w:hint="eastAsia" w:ascii="Times New Roman" w:hAnsi="Times New Roman" w:eastAsia="楷体_GB2312" w:cs="楷体_GB2312"/>
          <w:b/>
          <w:color w:val="auto"/>
          <w:sz w:val="32"/>
          <w:szCs w:val="32"/>
          <w:highlight w:val="none"/>
        </w:rPr>
      </w:pPr>
      <w:bookmarkStart w:id="28" w:name="_Toc15377210"/>
      <w:r>
        <w:rPr>
          <w:rFonts w:hint="eastAsia" w:ascii="Times New Roman" w:hAnsi="Times New Roman" w:eastAsia="楷体_GB2312" w:cs="楷体_GB2312"/>
          <w:b/>
          <w:color w:val="auto"/>
          <w:sz w:val="32"/>
          <w:szCs w:val="32"/>
          <w:highlight w:val="none"/>
        </w:rPr>
        <w:t>（一）一般公共预算财政拨款支出决算总体情况</w:t>
      </w:r>
      <w:bookmarkEnd w:id="28"/>
    </w:p>
    <w:p w14:paraId="393CE31A">
      <w:pPr>
        <w:spacing w:line="600" w:lineRule="exact"/>
        <w:ind w:firstLine="640"/>
        <w:rPr>
          <w:rFonts w:hint="eastAsia" w:eastAsia="仿宋_GB2312" w:cs="仿宋_GB2312"/>
          <w:color w:val="auto"/>
          <w:sz w:val="32"/>
          <w:szCs w:val="32"/>
          <w:highlight w:val="none"/>
          <w:lang w:val="en-US" w:eastAsia="zh-CN"/>
        </w:rPr>
      </w:pPr>
      <w:r>
        <w:rPr>
          <w:rFonts w:hint="eastAsia" w:ascii="仿宋_GB2312" w:hAnsi="仿宋_GB2312" w:eastAsia="仿宋_GB2312" w:cs="仿宋_GB2312"/>
          <w:color w:val="auto"/>
          <w:kern w:val="2"/>
          <w:sz w:val="32"/>
          <w:szCs w:val="32"/>
          <w:highlight w:val="none"/>
          <w:lang w:val="en-US" w:eastAsia="zh-CN" w:bidi="ar-SA"/>
        </w:rPr>
        <w:t>2024年度一般公共预算财政拨款支出</w:t>
      </w:r>
      <w:r>
        <w:rPr>
          <w:rFonts w:hint="eastAsia" w:ascii="仿宋_GB2312" w:hAnsi="仿宋_GB2312" w:eastAsia="仿宋_GB2312" w:cs="仿宋_GB2312"/>
          <w:color w:val="auto"/>
          <w:sz w:val="32"/>
          <w:szCs w:val="32"/>
        </w:rPr>
        <w:t>320.52</w:t>
      </w:r>
      <w:r>
        <w:rPr>
          <w:rFonts w:hint="eastAsia" w:ascii="仿宋_GB2312" w:hAnsi="仿宋_GB2312" w:eastAsia="仿宋_GB2312" w:cs="仿宋_GB2312"/>
          <w:color w:val="auto"/>
          <w:kern w:val="2"/>
          <w:sz w:val="32"/>
          <w:szCs w:val="32"/>
          <w:highlight w:val="none"/>
          <w:lang w:val="en-US" w:eastAsia="zh-CN" w:bidi="ar-SA"/>
        </w:rPr>
        <w:t>万元，占本年支出合计的</w:t>
      </w:r>
      <w:r>
        <w:rPr>
          <w:rFonts w:hint="eastAsia" w:ascii="仿宋_GB2312" w:hAnsi="仿宋_GB2312" w:eastAsia="仿宋_GB2312" w:cs="仿宋_GB2312"/>
          <w:color w:val="auto"/>
          <w:sz w:val="32"/>
          <w:szCs w:val="32"/>
        </w:rPr>
        <w:t>100</w:t>
      </w:r>
      <w:r>
        <w:rPr>
          <w:rFonts w:hint="eastAsia" w:ascii="仿宋_GB2312" w:hAnsi="仿宋_GB2312" w:eastAsia="仿宋_GB2312" w:cs="仿宋_GB2312"/>
          <w:color w:val="auto"/>
          <w:kern w:val="2"/>
          <w:sz w:val="32"/>
          <w:szCs w:val="32"/>
          <w:highlight w:val="none"/>
          <w:lang w:val="en-US" w:eastAsia="zh-CN" w:bidi="ar-SA"/>
        </w:rPr>
        <w:t>%。与2023年度相比，一般公共预算财政拨款支出增加14.07万元，增长4.6%。主要变动原因是</w:t>
      </w:r>
      <w:r>
        <w:rPr>
          <w:rFonts w:hint="eastAsia" w:eastAsia="仿宋_GB2312" w:cs="仿宋_GB2312"/>
          <w:color w:val="auto"/>
          <w:sz w:val="32"/>
          <w:szCs w:val="32"/>
          <w:highlight w:val="none"/>
          <w:lang w:val="en-US" w:eastAsia="zh-CN"/>
        </w:rPr>
        <w:t>社会保险的基数调整、人员调资。</w:t>
      </w:r>
    </w:p>
    <w:p w14:paraId="0DD2C7EC">
      <w:pPr>
        <w:pStyle w:val="16"/>
        <w:rPr>
          <w:rFonts w:hint="eastAsia" w:ascii="Times New Roman" w:hAnsi="Times New Roman" w:eastAsia="仿宋_GB2312" w:cs="仿宋_GB2312"/>
          <w:color w:val="auto"/>
          <w:kern w:val="2"/>
          <w:sz w:val="32"/>
          <w:szCs w:val="32"/>
          <w:highlight w:val="none"/>
          <w:lang w:val="en-US" w:eastAsia="zh-CN" w:bidi="ar-SA"/>
        </w:rPr>
      </w:pPr>
      <w:r>
        <w:rPr>
          <w:color w:val="auto"/>
        </w:rPr>
        <w:drawing>
          <wp:inline distT="0" distB="0" distL="114300" distR="114300">
            <wp:extent cx="4826000" cy="2536190"/>
            <wp:effectExtent l="4445" t="4445" r="8255" b="12065"/>
            <wp:docPr id="26" name="图表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35C91CA6">
      <w:pPr>
        <w:spacing w:line="600" w:lineRule="exact"/>
        <w:ind w:firstLine="643" w:firstLineChars="200"/>
        <w:outlineLvl w:val="2"/>
        <w:rPr>
          <w:rFonts w:hint="eastAsia" w:ascii="Times New Roman" w:hAnsi="Times New Roman" w:eastAsia="楷体_GB2312" w:cs="楷体_GB2312"/>
          <w:b/>
          <w:color w:val="auto"/>
          <w:sz w:val="32"/>
          <w:szCs w:val="32"/>
          <w:highlight w:val="none"/>
        </w:rPr>
      </w:pPr>
      <w:bookmarkStart w:id="29" w:name="_Toc15377211"/>
      <w:r>
        <w:rPr>
          <w:rFonts w:hint="eastAsia" w:ascii="Times New Roman" w:hAnsi="Times New Roman" w:eastAsia="楷体_GB2312" w:cs="楷体_GB2312"/>
          <w:b/>
          <w:color w:val="auto"/>
          <w:sz w:val="32"/>
          <w:szCs w:val="32"/>
          <w:highlight w:val="none"/>
        </w:rPr>
        <w:t>（二）一般公共预算财政拨款支出决算结构情况</w:t>
      </w:r>
      <w:bookmarkEnd w:id="29"/>
    </w:p>
    <w:p w14:paraId="6F4B4202">
      <w:pPr>
        <w:spacing w:line="600" w:lineRule="exact"/>
        <w:ind w:firstLine="640"/>
        <w:rPr>
          <w:rFonts w:hint="eastAsia"/>
          <w:color w:val="auto"/>
          <w:lang w:val="en-US" w:eastAsia="zh-CN"/>
        </w:rPr>
      </w:pPr>
      <w:r>
        <w:rPr>
          <w:rFonts w:hint="eastAsia" w:ascii="Times New Roman" w:hAnsi="Times New Roman" w:eastAsia="仿宋_GB2312" w:cs="仿宋_GB2312"/>
          <w:color w:val="auto"/>
          <w:kern w:val="2"/>
          <w:sz w:val="32"/>
          <w:szCs w:val="32"/>
          <w:highlight w:val="none"/>
          <w:lang w:val="en-US" w:eastAsia="zh-CN" w:bidi="ar-SA"/>
        </w:rPr>
        <w:t>2024年度一般公共预算财政拨款支出</w:t>
      </w:r>
      <w:r>
        <w:rPr>
          <w:rFonts w:hint="eastAsia" w:ascii="仿宋_GB2312" w:hAnsi="仿宋_GB2312" w:eastAsia="仿宋_GB2312" w:cs="仿宋_GB2312"/>
          <w:color w:val="auto"/>
          <w:sz w:val="32"/>
          <w:szCs w:val="32"/>
        </w:rPr>
        <w:t>320.52</w:t>
      </w:r>
      <w:r>
        <w:rPr>
          <w:rFonts w:hint="eastAsia" w:ascii="仿宋_GB2312" w:hAnsi="仿宋_GB2312" w:eastAsia="仿宋_GB2312" w:cs="仿宋_GB2312"/>
          <w:color w:val="auto"/>
          <w:kern w:val="2"/>
          <w:sz w:val="32"/>
          <w:szCs w:val="32"/>
          <w:highlight w:val="none"/>
          <w:lang w:val="en-US" w:eastAsia="zh-CN" w:bidi="ar-SA"/>
        </w:rPr>
        <w:t>万元</w:t>
      </w:r>
      <w:r>
        <w:rPr>
          <w:rFonts w:hint="eastAsia" w:ascii="Times New Roman" w:hAnsi="Times New Roman" w:eastAsia="仿宋_GB2312" w:cs="仿宋_GB2312"/>
          <w:color w:val="auto"/>
          <w:kern w:val="2"/>
          <w:sz w:val="32"/>
          <w:szCs w:val="32"/>
          <w:highlight w:val="none"/>
          <w:lang w:val="en-US" w:eastAsia="zh-CN" w:bidi="ar-SA"/>
        </w:rPr>
        <w:t>，主要用于以下方面</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社会保障和就业支出</w:t>
      </w:r>
      <w:r>
        <w:rPr>
          <w:rFonts w:hint="eastAsia" w:eastAsia="仿宋_GB2312" w:cs="仿宋_GB2312"/>
          <w:color w:val="auto"/>
          <w:kern w:val="2"/>
          <w:sz w:val="32"/>
          <w:szCs w:val="32"/>
          <w:highlight w:val="none"/>
          <w:lang w:val="en-US" w:eastAsia="zh-CN" w:bidi="ar-SA"/>
        </w:rPr>
        <w:t>29.41</w:t>
      </w:r>
      <w:r>
        <w:rPr>
          <w:rFonts w:hint="eastAsia" w:ascii="Times New Roman" w:hAnsi="Times New Roman" w:eastAsia="仿宋_GB2312" w:cs="仿宋_GB2312"/>
          <w:color w:val="auto"/>
          <w:kern w:val="2"/>
          <w:sz w:val="32"/>
          <w:szCs w:val="32"/>
          <w:highlight w:val="none"/>
          <w:lang w:val="en-US" w:eastAsia="zh-CN" w:bidi="ar-SA"/>
        </w:rPr>
        <w:t>万元，占</w:t>
      </w:r>
      <w:r>
        <w:rPr>
          <w:rFonts w:hint="eastAsia" w:eastAsia="仿宋_GB2312" w:cs="仿宋_GB2312"/>
          <w:color w:val="auto"/>
          <w:kern w:val="2"/>
          <w:sz w:val="32"/>
          <w:szCs w:val="32"/>
          <w:highlight w:val="none"/>
          <w:lang w:val="en-US" w:eastAsia="zh-CN" w:bidi="ar-SA"/>
        </w:rPr>
        <w:t>9.18</w:t>
      </w:r>
      <w:r>
        <w:rPr>
          <w:rFonts w:hint="eastAsia" w:ascii="Times New Roman" w:hAnsi="Times New Roman" w:eastAsia="仿宋_GB2312" w:cs="仿宋_GB2312"/>
          <w:color w:val="auto"/>
          <w:kern w:val="2"/>
          <w:sz w:val="32"/>
          <w:szCs w:val="32"/>
          <w:highlight w:val="none"/>
          <w:lang w:val="en-US" w:eastAsia="zh-CN" w:bidi="ar-SA"/>
        </w:rPr>
        <w:t>%；卫生健康支出</w:t>
      </w:r>
      <w:r>
        <w:rPr>
          <w:rFonts w:hint="eastAsia" w:eastAsia="仿宋_GB2312" w:cs="仿宋_GB2312"/>
          <w:color w:val="auto"/>
          <w:kern w:val="2"/>
          <w:sz w:val="32"/>
          <w:szCs w:val="32"/>
          <w:highlight w:val="none"/>
          <w:lang w:val="en-US" w:eastAsia="zh-CN" w:bidi="ar-SA"/>
        </w:rPr>
        <w:t>5.42</w:t>
      </w:r>
      <w:r>
        <w:rPr>
          <w:rFonts w:hint="eastAsia" w:ascii="Times New Roman" w:hAnsi="Times New Roman" w:eastAsia="仿宋_GB2312" w:cs="仿宋_GB2312"/>
          <w:color w:val="auto"/>
          <w:kern w:val="2"/>
          <w:sz w:val="32"/>
          <w:szCs w:val="32"/>
          <w:highlight w:val="none"/>
          <w:lang w:val="en-US" w:eastAsia="zh-CN" w:bidi="ar-SA"/>
        </w:rPr>
        <w:t>万元，占</w:t>
      </w:r>
      <w:r>
        <w:rPr>
          <w:rFonts w:hint="eastAsia" w:eastAsia="仿宋_GB2312" w:cs="仿宋_GB2312"/>
          <w:color w:val="auto"/>
          <w:kern w:val="2"/>
          <w:sz w:val="32"/>
          <w:szCs w:val="32"/>
          <w:highlight w:val="none"/>
          <w:lang w:val="en-US" w:eastAsia="zh-CN" w:bidi="ar-SA"/>
        </w:rPr>
        <w:t>1.69</w:t>
      </w:r>
      <w:r>
        <w:rPr>
          <w:rFonts w:hint="eastAsia" w:ascii="Times New Roman" w:hAnsi="Times New Roman" w:eastAsia="仿宋_GB2312" w:cs="仿宋_GB2312"/>
          <w:color w:val="auto"/>
          <w:kern w:val="2"/>
          <w:sz w:val="32"/>
          <w:szCs w:val="32"/>
          <w:highlight w:val="none"/>
          <w:lang w:val="en-US" w:eastAsia="zh-CN" w:bidi="ar-SA"/>
        </w:rPr>
        <w:t>%；住房保障支出</w:t>
      </w:r>
      <w:r>
        <w:rPr>
          <w:rFonts w:hint="eastAsia" w:eastAsia="仿宋_GB2312" w:cs="仿宋_GB2312"/>
          <w:color w:val="auto"/>
          <w:kern w:val="2"/>
          <w:sz w:val="32"/>
          <w:szCs w:val="32"/>
          <w:highlight w:val="none"/>
          <w:lang w:val="en-US" w:eastAsia="zh-CN" w:bidi="ar-SA"/>
        </w:rPr>
        <w:t>10.48</w:t>
      </w:r>
      <w:r>
        <w:rPr>
          <w:rFonts w:hint="eastAsia" w:ascii="Times New Roman" w:hAnsi="Times New Roman" w:eastAsia="仿宋_GB2312" w:cs="仿宋_GB2312"/>
          <w:color w:val="auto"/>
          <w:kern w:val="2"/>
          <w:sz w:val="32"/>
          <w:szCs w:val="32"/>
          <w:highlight w:val="none"/>
          <w:lang w:val="en-US" w:eastAsia="zh-CN" w:bidi="ar-SA"/>
        </w:rPr>
        <w:t>万元，占</w:t>
      </w:r>
      <w:r>
        <w:rPr>
          <w:rFonts w:hint="eastAsia" w:eastAsia="仿宋_GB2312" w:cs="仿宋_GB2312"/>
          <w:color w:val="auto"/>
          <w:kern w:val="2"/>
          <w:sz w:val="32"/>
          <w:szCs w:val="32"/>
          <w:highlight w:val="none"/>
          <w:lang w:val="en-US" w:eastAsia="zh-CN" w:bidi="ar-SA"/>
        </w:rPr>
        <w:t>3.27</w:t>
      </w:r>
      <w:r>
        <w:rPr>
          <w:rFonts w:hint="eastAsia" w:ascii="Times New Roman" w:hAnsi="Times New Roman" w:eastAsia="仿宋_GB2312" w:cs="仿宋_GB2312"/>
          <w:color w:val="auto"/>
          <w:kern w:val="2"/>
          <w:sz w:val="32"/>
          <w:szCs w:val="32"/>
          <w:highlight w:val="none"/>
          <w:lang w:val="en-US" w:eastAsia="zh-CN" w:bidi="ar-SA"/>
        </w:rPr>
        <w:t>%；</w:t>
      </w:r>
      <w:r>
        <w:rPr>
          <w:rFonts w:hint="eastAsia" w:eastAsia="仿宋_GB2312" w:cs="仿宋_GB2312"/>
          <w:color w:val="auto"/>
          <w:kern w:val="2"/>
          <w:sz w:val="32"/>
          <w:szCs w:val="32"/>
          <w:highlight w:val="none"/>
          <w:lang w:val="en-US" w:eastAsia="zh-CN" w:bidi="ar-SA"/>
        </w:rPr>
        <w:t>粮油物资储备支出275.21万元，</w:t>
      </w:r>
      <w:r>
        <w:rPr>
          <w:rFonts w:hint="eastAsia" w:ascii="Times New Roman" w:hAnsi="Times New Roman" w:eastAsia="仿宋_GB2312" w:cs="仿宋_GB2312"/>
          <w:color w:val="auto"/>
          <w:kern w:val="2"/>
          <w:sz w:val="32"/>
          <w:szCs w:val="32"/>
          <w:highlight w:val="none"/>
          <w:lang w:val="en-US" w:eastAsia="zh-CN" w:bidi="ar-SA"/>
        </w:rPr>
        <w:t>占85.86%。</w:t>
      </w:r>
    </w:p>
    <w:p w14:paraId="71FE9E08">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color w:val="auto"/>
        </w:rPr>
        <w:drawing>
          <wp:anchor distT="0" distB="0" distL="114300" distR="114300" simplePos="0" relativeHeight="251662336" behindDoc="0" locked="0" layoutInCell="1" allowOverlap="1">
            <wp:simplePos x="0" y="0"/>
            <wp:positionH relativeFrom="column">
              <wp:posOffset>315595</wp:posOffset>
            </wp:positionH>
            <wp:positionV relativeFrom="paragraph">
              <wp:posOffset>233045</wp:posOffset>
            </wp:positionV>
            <wp:extent cx="4934585" cy="2342515"/>
            <wp:effectExtent l="4445" t="4445" r="13970" b="15240"/>
            <wp:wrapNone/>
            <wp:docPr id="27"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anchor>
        </w:drawing>
      </w:r>
    </w:p>
    <w:p w14:paraId="23710B34">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p>
    <w:p w14:paraId="7A176976">
      <w:pPr>
        <w:spacing w:line="600" w:lineRule="exact"/>
        <w:ind w:firstLine="640"/>
        <w:rPr>
          <w:color w:val="auto"/>
        </w:rPr>
      </w:pPr>
    </w:p>
    <w:p w14:paraId="34585961">
      <w:pPr>
        <w:spacing w:line="600" w:lineRule="exact"/>
        <w:ind w:firstLine="640"/>
        <w:rPr>
          <w:color w:val="auto"/>
        </w:rPr>
      </w:pPr>
    </w:p>
    <w:p w14:paraId="10373C62">
      <w:pPr>
        <w:spacing w:line="600" w:lineRule="exact"/>
        <w:ind w:firstLine="640"/>
        <w:rPr>
          <w:color w:val="auto"/>
        </w:rPr>
      </w:pPr>
    </w:p>
    <w:p w14:paraId="041839E4">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p>
    <w:p w14:paraId="41D64E76">
      <w:pPr>
        <w:spacing w:line="600" w:lineRule="exact"/>
        <w:rPr>
          <w:rFonts w:hint="eastAsia" w:ascii="Times New Roman" w:hAnsi="Times New Roman" w:eastAsia="仿宋_GB2312" w:cs="仿宋_GB2312"/>
          <w:color w:val="auto"/>
          <w:kern w:val="2"/>
          <w:sz w:val="32"/>
          <w:szCs w:val="32"/>
          <w:highlight w:val="none"/>
          <w:lang w:val="en-US" w:eastAsia="zh-CN" w:bidi="ar-SA"/>
        </w:rPr>
      </w:pPr>
    </w:p>
    <w:p w14:paraId="2078CFC3">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p>
    <w:p w14:paraId="5C4A76D4">
      <w:pPr>
        <w:spacing w:line="600" w:lineRule="exact"/>
        <w:ind w:firstLine="643" w:firstLineChars="200"/>
        <w:outlineLvl w:val="2"/>
        <w:rPr>
          <w:rFonts w:hint="eastAsia" w:ascii="Times New Roman" w:hAnsi="Times New Roman" w:eastAsia="楷体_GB2312" w:cs="楷体_GB2312"/>
          <w:b/>
          <w:color w:val="auto"/>
          <w:sz w:val="32"/>
          <w:szCs w:val="32"/>
          <w:highlight w:val="none"/>
        </w:rPr>
      </w:pPr>
      <w:bookmarkStart w:id="30" w:name="_Toc15377212"/>
      <w:r>
        <w:rPr>
          <w:rFonts w:hint="eastAsia" w:ascii="Times New Roman" w:hAnsi="Times New Roman" w:eastAsia="楷体_GB2312" w:cs="楷体_GB2312"/>
          <w:b/>
          <w:color w:val="auto"/>
          <w:sz w:val="32"/>
          <w:szCs w:val="32"/>
          <w:highlight w:val="none"/>
        </w:rPr>
        <w:t>（三）一般公共预算财政拨款支出决算具体情况</w:t>
      </w:r>
      <w:bookmarkEnd w:id="30"/>
    </w:p>
    <w:p w14:paraId="1CB641C2">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bookmarkStart w:id="31" w:name="_Toc15377213"/>
      <w:bookmarkStart w:id="32" w:name="_Toc15378460"/>
      <w:bookmarkStart w:id="33" w:name="_Toc15377444"/>
      <w:r>
        <w:rPr>
          <w:rFonts w:hint="eastAsia" w:ascii="Times New Roman" w:hAnsi="Times New Roman" w:eastAsia="仿宋_GB2312" w:cs="仿宋_GB2312"/>
          <w:color w:val="auto"/>
          <w:kern w:val="2"/>
          <w:sz w:val="32"/>
          <w:szCs w:val="32"/>
          <w:highlight w:val="none"/>
          <w:lang w:val="en-US" w:eastAsia="zh-CN" w:bidi="ar-SA"/>
        </w:rPr>
        <w:t>2024年度一般公共预算财政拨款支出决算数为</w:t>
      </w:r>
      <w:r>
        <w:rPr>
          <w:rFonts w:hint="eastAsia" w:ascii="仿宋_GB2312" w:hAnsi="仿宋_GB2312" w:eastAsia="仿宋_GB2312" w:cs="仿宋_GB2312"/>
          <w:color w:val="auto"/>
          <w:sz w:val="32"/>
          <w:szCs w:val="32"/>
        </w:rPr>
        <w:t>320.52</w:t>
      </w:r>
      <w:r>
        <w:rPr>
          <w:rFonts w:hint="eastAsia" w:ascii="仿宋_GB2312" w:hAnsi="仿宋_GB2312"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%。其中：</w:t>
      </w:r>
      <w:bookmarkEnd w:id="31"/>
      <w:bookmarkEnd w:id="32"/>
      <w:bookmarkEnd w:id="33"/>
    </w:p>
    <w:p w14:paraId="7779A231">
      <w:pPr>
        <w:spacing w:line="600" w:lineRule="exact"/>
        <w:ind w:firstLine="640"/>
        <w:rPr>
          <w:rFonts w:hint="eastAsia"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1</w:t>
      </w:r>
      <w:r>
        <w:rPr>
          <w:rFonts w:hint="eastAsia" w:eastAsia="仿宋_GB2312" w:cs="仿宋_GB2312"/>
          <w:color w:val="auto"/>
          <w:kern w:val="2"/>
          <w:sz w:val="32"/>
          <w:szCs w:val="32"/>
          <w:highlight w:val="none"/>
          <w:lang w:val="en-US" w:eastAsia="zh-CN" w:bidi="ar-SA"/>
        </w:rPr>
        <w:t>.社会保障和就业支出</w:t>
      </w:r>
      <w:r>
        <w:rPr>
          <w:rFonts w:hint="eastAsia" w:ascii="Times New Roman" w:hAnsi="Times New Roman" w:eastAsia="仿宋_GB2312" w:cs="仿宋_GB2312"/>
          <w:color w:val="auto"/>
          <w:kern w:val="2"/>
          <w:sz w:val="32"/>
          <w:szCs w:val="32"/>
          <w:highlight w:val="none"/>
          <w:lang w:val="en-US" w:eastAsia="zh-CN" w:bidi="ar-SA"/>
        </w:rPr>
        <w:t>（类）</w:t>
      </w:r>
      <w:r>
        <w:rPr>
          <w:rFonts w:hint="eastAsia" w:eastAsia="仿宋_GB2312" w:cs="仿宋_GB2312"/>
          <w:color w:val="auto"/>
          <w:kern w:val="2"/>
          <w:sz w:val="32"/>
          <w:szCs w:val="32"/>
          <w:highlight w:val="none"/>
          <w:lang w:val="en-US" w:eastAsia="zh-CN" w:bidi="ar-SA"/>
        </w:rPr>
        <w:t>机关事业单位基本养老保险缴费支出</w:t>
      </w:r>
      <w:r>
        <w:rPr>
          <w:rFonts w:hint="eastAsia" w:ascii="Times New Roman" w:hAnsi="Times New Roman" w:eastAsia="仿宋_GB2312" w:cs="仿宋_GB2312"/>
          <w:color w:val="auto"/>
          <w:kern w:val="2"/>
          <w:sz w:val="32"/>
          <w:szCs w:val="32"/>
          <w:highlight w:val="none"/>
          <w:lang w:val="en-US" w:eastAsia="zh-CN" w:bidi="ar-SA"/>
        </w:rPr>
        <w:t>（款）</w:t>
      </w:r>
      <w:r>
        <w:rPr>
          <w:rFonts w:hint="eastAsia" w:eastAsia="仿宋_GB2312" w:cs="仿宋_GB2312"/>
          <w:color w:val="auto"/>
          <w:kern w:val="2"/>
          <w:sz w:val="32"/>
          <w:szCs w:val="32"/>
          <w:highlight w:val="none"/>
          <w:lang w:val="en-US" w:eastAsia="zh-CN" w:bidi="ar-SA"/>
        </w:rPr>
        <w:t>养老保险（行政）</w:t>
      </w:r>
      <w:r>
        <w:rPr>
          <w:rFonts w:hint="eastAsia" w:ascii="Times New Roman" w:hAnsi="Times New Roman" w:eastAsia="仿宋_GB2312" w:cs="仿宋_GB2312"/>
          <w:color w:val="auto"/>
          <w:kern w:val="2"/>
          <w:sz w:val="32"/>
          <w:szCs w:val="32"/>
          <w:highlight w:val="none"/>
          <w:lang w:val="en-US" w:eastAsia="zh-CN" w:bidi="ar-SA"/>
        </w:rPr>
        <w:t>（项）</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支出决算为</w:t>
      </w:r>
      <w:r>
        <w:rPr>
          <w:rFonts w:hint="eastAsia" w:eastAsia="仿宋_GB2312" w:cs="仿宋_GB2312"/>
          <w:color w:val="auto"/>
          <w:kern w:val="2"/>
          <w:sz w:val="32"/>
          <w:szCs w:val="32"/>
          <w:highlight w:val="none"/>
          <w:lang w:val="en-US" w:eastAsia="zh-CN" w:bidi="ar-SA"/>
        </w:rPr>
        <w:t>12.64</w:t>
      </w:r>
      <w:r>
        <w:rPr>
          <w:rFonts w:hint="eastAsia" w:ascii="Times New Roman" w:hAnsi="Times New Roman" w:eastAsia="仿宋_GB2312" w:cs="仿宋_GB2312"/>
          <w:color w:val="auto"/>
          <w:kern w:val="2"/>
          <w:sz w:val="32"/>
          <w:szCs w:val="32"/>
          <w:highlight w:val="none"/>
          <w:lang w:val="en-US" w:eastAsia="zh-CN" w:bidi="ar-SA"/>
        </w:rPr>
        <w:t>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%，决算数等于预算数</w:t>
      </w:r>
      <w:r>
        <w:rPr>
          <w:rFonts w:hint="eastAsia" w:eastAsia="仿宋_GB2312" w:cs="仿宋_GB2312"/>
          <w:color w:val="auto"/>
          <w:kern w:val="2"/>
          <w:sz w:val="32"/>
          <w:szCs w:val="32"/>
          <w:highlight w:val="none"/>
          <w:lang w:val="en-US" w:eastAsia="zh-CN" w:bidi="ar-SA"/>
        </w:rPr>
        <w:t>。</w:t>
      </w:r>
    </w:p>
    <w:p w14:paraId="59CE6D35">
      <w:pPr>
        <w:spacing w:line="600" w:lineRule="exact"/>
        <w:ind w:firstLine="640"/>
        <w:rPr>
          <w:rFonts w:hint="eastAsia"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w:t>
      </w:r>
      <w:r>
        <w:rPr>
          <w:rFonts w:hint="eastAsia" w:eastAsia="仿宋_GB2312" w:cs="仿宋_GB2312"/>
          <w:color w:val="auto"/>
          <w:kern w:val="2"/>
          <w:sz w:val="32"/>
          <w:szCs w:val="32"/>
          <w:highlight w:val="none"/>
          <w:lang w:val="en-US" w:eastAsia="zh-CN" w:bidi="ar-SA"/>
        </w:rPr>
        <w:t>社会保障和就业支出</w:t>
      </w:r>
      <w:r>
        <w:rPr>
          <w:rFonts w:hint="eastAsia" w:ascii="Times New Roman" w:hAnsi="Times New Roman" w:eastAsia="仿宋_GB2312" w:cs="仿宋_GB2312"/>
          <w:color w:val="auto"/>
          <w:kern w:val="2"/>
          <w:sz w:val="32"/>
          <w:szCs w:val="32"/>
          <w:highlight w:val="none"/>
          <w:lang w:val="en-US" w:eastAsia="zh-CN" w:bidi="ar-SA"/>
        </w:rPr>
        <w:t>（类）</w:t>
      </w:r>
      <w:r>
        <w:rPr>
          <w:rFonts w:hint="eastAsia" w:eastAsia="仿宋_GB2312" w:cs="仿宋_GB2312"/>
          <w:color w:val="auto"/>
          <w:kern w:val="2"/>
          <w:sz w:val="32"/>
          <w:szCs w:val="32"/>
          <w:highlight w:val="none"/>
          <w:lang w:val="en-US" w:eastAsia="zh-CN" w:bidi="ar-SA"/>
        </w:rPr>
        <w:t>机关事业单位职业年金缴费支出</w:t>
      </w:r>
      <w:r>
        <w:rPr>
          <w:rFonts w:hint="eastAsia" w:ascii="Times New Roman" w:hAnsi="Times New Roman" w:eastAsia="仿宋_GB2312" w:cs="仿宋_GB2312"/>
          <w:color w:val="auto"/>
          <w:kern w:val="2"/>
          <w:sz w:val="32"/>
          <w:szCs w:val="32"/>
          <w:highlight w:val="none"/>
          <w:lang w:val="en-US" w:eastAsia="zh-CN" w:bidi="ar-SA"/>
        </w:rPr>
        <w:t>（款）</w:t>
      </w:r>
      <w:r>
        <w:rPr>
          <w:rFonts w:hint="eastAsia" w:eastAsia="仿宋_GB2312" w:cs="仿宋_GB2312"/>
          <w:color w:val="auto"/>
          <w:kern w:val="2"/>
          <w:sz w:val="32"/>
          <w:szCs w:val="32"/>
          <w:highlight w:val="none"/>
          <w:lang w:val="en-US" w:eastAsia="zh-CN" w:bidi="ar-SA"/>
        </w:rPr>
        <w:t>职业年金（行政）</w:t>
      </w:r>
      <w:r>
        <w:rPr>
          <w:rFonts w:hint="eastAsia" w:ascii="Times New Roman" w:hAnsi="Times New Roman" w:eastAsia="仿宋_GB2312" w:cs="仿宋_GB2312"/>
          <w:color w:val="auto"/>
          <w:kern w:val="2"/>
          <w:sz w:val="32"/>
          <w:szCs w:val="32"/>
          <w:highlight w:val="none"/>
          <w:lang w:val="en-US" w:eastAsia="zh-CN" w:bidi="ar-SA"/>
        </w:rPr>
        <w:t>（项）: 支出决算为</w:t>
      </w:r>
      <w:r>
        <w:rPr>
          <w:rFonts w:hint="eastAsia" w:eastAsia="仿宋_GB2312" w:cs="仿宋_GB2312"/>
          <w:color w:val="auto"/>
          <w:kern w:val="2"/>
          <w:sz w:val="32"/>
          <w:szCs w:val="32"/>
          <w:highlight w:val="none"/>
          <w:lang w:val="en-US" w:eastAsia="zh-CN" w:bidi="ar-SA"/>
        </w:rPr>
        <w:t>9.04</w:t>
      </w:r>
      <w:r>
        <w:rPr>
          <w:rFonts w:hint="eastAsia" w:ascii="Times New Roman" w:hAnsi="Times New Roman" w:eastAsia="仿宋_GB2312" w:cs="仿宋_GB2312"/>
          <w:color w:val="auto"/>
          <w:kern w:val="2"/>
          <w:sz w:val="32"/>
          <w:szCs w:val="32"/>
          <w:highlight w:val="none"/>
          <w:lang w:val="en-US" w:eastAsia="zh-CN" w:bidi="ar-SA"/>
        </w:rPr>
        <w:t>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%，决算数等于预算数</w:t>
      </w:r>
      <w:r>
        <w:rPr>
          <w:rFonts w:hint="eastAsia" w:eastAsia="仿宋_GB2312" w:cs="仿宋_GB2312"/>
          <w:color w:val="auto"/>
          <w:kern w:val="2"/>
          <w:sz w:val="32"/>
          <w:szCs w:val="32"/>
          <w:highlight w:val="none"/>
          <w:lang w:val="en-US" w:eastAsia="zh-CN" w:bidi="ar-SA"/>
        </w:rPr>
        <w:t>。</w:t>
      </w:r>
    </w:p>
    <w:p w14:paraId="499DE865">
      <w:pPr>
        <w:spacing w:line="600" w:lineRule="exact"/>
        <w:ind w:firstLine="640"/>
        <w:rPr>
          <w:rFonts w:hint="eastAsia"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3.</w:t>
      </w:r>
      <w:r>
        <w:rPr>
          <w:rFonts w:hint="eastAsia" w:eastAsia="仿宋_GB2312" w:cs="仿宋_GB2312"/>
          <w:color w:val="auto"/>
          <w:kern w:val="2"/>
          <w:sz w:val="32"/>
          <w:szCs w:val="32"/>
          <w:highlight w:val="none"/>
          <w:lang w:val="en-US" w:eastAsia="zh-CN" w:bidi="ar-SA"/>
        </w:rPr>
        <w:t>社会保障和就业支出</w:t>
      </w:r>
      <w:r>
        <w:rPr>
          <w:rFonts w:hint="eastAsia" w:ascii="Times New Roman" w:hAnsi="Times New Roman" w:eastAsia="仿宋_GB2312" w:cs="仿宋_GB2312"/>
          <w:color w:val="auto"/>
          <w:kern w:val="2"/>
          <w:sz w:val="32"/>
          <w:szCs w:val="32"/>
          <w:highlight w:val="none"/>
          <w:lang w:val="en-US" w:eastAsia="zh-CN" w:bidi="ar-SA"/>
        </w:rPr>
        <w:t>（类）</w:t>
      </w:r>
      <w:r>
        <w:rPr>
          <w:rFonts w:hint="eastAsia" w:eastAsia="仿宋_GB2312" w:cs="仿宋_GB2312"/>
          <w:color w:val="auto"/>
          <w:kern w:val="2"/>
          <w:sz w:val="32"/>
          <w:szCs w:val="32"/>
          <w:highlight w:val="none"/>
          <w:lang w:val="en-US" w:eastAsia="zh-CN" w:bidi="ar-SA"/>
        </w:rPr>
        <w:t>其他行政事业单位养老支出</w:t>
      </w:r>
      <w:r>
        <w:rPr>
          <w:rFonts w:hint="eastAsia" w:ascii="Times New Roman" w:hAnsi="Times New Roman" w:eastAsia="仿宋_GB2312" w:cs="仿宋_GB2312"/>
          <w:color w:val="auto"/>
          <w:kern w:val="2"/>
          <w:sz w:val="32"/>
          <w:szCs w:val="32"/>
          <w:highlight w:val="none"/>
          <w:lang w:val="en-US" w:eastAsia="zh-CN" w:bidi="ar-SA"/>
        </w:rPr>
        <w:t>（款）</w:t>
      </w:r>
      <w:r>
        <w:rPr>
          <w:rFonts w:hint="eastAsia" w:eastAsia="仿宋_GB2312" w:cs="仿宋_GB2312"/>
          <w:color w:val="auto"/>
          <w:kern w:val="2"/>
          <w:sz w:val="32"/>
          <w:szCs w:val="32"/>
          <w:highlight w:val="none"/>
          <w:lang w:val="en-US" w:eastAsia="zh-CN" w:bidi="ar-SA"/>
        </w:rPr>
        <w:t>退休人员春节慰问金</w:t>
      </w:r>
      <w:r>
        <w:rPr>
          <w:rFonts w:hint="eastAsia" w:ascii="Times New Roman" w:hAnsi="Times New Roman" w:eastAsia="仿宋_GB2312" w:cs="仿宋_GB2312"/>
          <w:color w:val="auto"/>
          <w:kern w:val="2"/>
          <w:sz w:val="32"/>
          <w:szCs w:val="32"/>
          <w:highlight w:val="none"/>
          <w:lang w:val="en-US" w:eastAsia="zh-CN" w:bidi="ar-SA"/>
        </w:rPr>
        <w:t>（项）</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支出决算为</w:t>
      </w:r>
      <w:r>
        <w:rPr>
          <w:rFonts w:hint="eastAsia" w:eastAsia="仿宋_GB2312" w:cs="仿宋_GB2312"/>
          <w:color w:val="auto"/>
          <w:kern w:val="2"/>
          <w:sz w:val="32"/>
          <w:szCs w:val="32"/>
          <w:highlight w:val="none"/>
          <w:lang w:val="en-US" w:eastAsia="zh-CN" w:bidi="ar-SA"/>
        </w:rPr>
        <w:t>1.57</w:t>
      </w:r>
      <w:r>
        <w:rPr>
          <w:rFonts w:hint="eastAsia" w:ascii="Times New Roman" w:hAnsi="Times New Roman" w:eastAsia="仿宋_GB2312" w:cs="仿宋_GB2312"/>
          <w:color w:val="auto"/>
          <w:kern w:val="2"/>
          <w:sz w:val="32"/>
          <w:szCs w:val="32"/>
          <w:highlight w:val="none"/>
          <w:lang w:val="en-US" w:eastAsia="zh-CN" w:bidi="ar-SA"/>
        </w:rPr>
        <w:t>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%，决算数等于预算数</w:t>
      </w:r>
      <w:r>
        <w:rPr>
          <w:rFonts w:hint="eastAsia" w:eastAsia="仿宋_GB2312" w:cs="仿宋_GB2312"/>
          <w:color w:val="auto"/>
          <w:kern w:val="2"/>
          <w:sz w:val="32"/>
          <w:szCs w:val="32"/>
          <w:highlight w:val="none"/>
          <w:lang w:val="en-US" w:eastAsia="zh-CN" w:bidi="ar-SA"/>
        </w:rPr>
        <w:t>。</w:t>
      </w:r>
    </w:p>
    <w:p w14:paraId="72592959">
      <w:pPr>
        <w:spacing w:line="600" w:lineRule="exact"/>
        <w:ind w:firstLine="640"/>
        <w:rPr>
          <w:rFonts w:hint="eastAsia"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4.</w:t>
      </w:r>
      <w:r>
        <w:rPr>
          <w:rFonts w:hint="eastAsia" w:eastAsia="仿宋_GB2312" w:cs="仿宋_GB2312"/>
          <w:color w:val="auto"/>
          <w:kern w:val="2"/>
          <w:sz w:val="32"/>
          <w:szCs w:val="32"/>
          <w:highlight w:val="none"/>
          <w:lang w:val="en-US" w:eastAsia="zh-CN" w:bidi="ar-SA"/>
        </w:rPr>
        <w:t>社会保障和就业支出</w:t>
      </w:r>
      <w:r>
        <w:rPr>
          <w:rFonts w:hint="eastAsia" w:ascii="Times New Roman" w:hAnsi="Times New Roman" w:eastAsia="仿宋_GB2312" w:cs="仿宋_GB2312"/>
          <w:color w:val="auto"/>
          <w:kern w:val="2"/>
          <w:sz w:val="32"/>
          <w:szCs w:val="32"/>
          <w:highlight w:val="none"/>
          <w:lang w:val="en-US" w:eastAsia="zh-CN" w:bidi="ar-SA"/>
        </w:rPr>
        <w:t>（类）</w:t>
      </w:r>
      <w:r>
        <w:rPr>
          <w:rFonts w:hint="eastAsia" w:eastAsia="仿宋_GB2312" w:cs="仿宋_GB2312"/>
          <w:color w:val="auto"/>
          <w:kern w:val="2"/>
          <w:sz w:val="32"/>
          <w:szCs w:val="32"/>
          <w:highlight w:val="none"/>
          <w:lang w:val="en-US" w:eastAsia="zh-CN" w:bidi="ar-SA"/>
        </w:rPr>
        <w:t>残疾人就业</w:t>
      </w:r>
      <w:r>
        <w:rPr>
          <w:rFonts w:hint="eastAsia" w:ascii="Times New Roman" w:hAnsi="Times New Roman" w:eastAsia="仿宋_GB2312" w:cs="仿宋_GB2312"/>
          <w:color w:val="auto"/>
          <w:kern w:val="2"/>
          <w:sz w:val="32"/>
          <w:szCs w:val="32"/>
          <w:highlight w:val="none"/>
          <w:lang w:val="en-US" w:eastAsia="zh-CN" w:bidi="ar-SA"/>
        </w:rPr>
        <w:t>（款）</w:t>
      </w:r>
      <w:r>
        <w:rPr>
          <w:rFonts w:hint="eastAsia" w:eastAsia="仿宋_GB2312" w:cs="仿宋_GB2312"/>
          <w:color w:val="auto"/>
          <w:kern w:val="2"/>
          <w:sz w:val="32"/>
          <w:szCs w:val="32"/>
          <w:highlight w:val="none"/>
          <w:lang w:val="en-US" w:eastAsia="zh-CN" w:bidi="ar-SA"/>
        </w:rPr>
        <w:t>残疾人就业保障金</w:t>
      </w:r>
      <w:r>
        <w:rPr>
          <w:rFonts w:hint="eastAsia" w:ascii="Times New Roman" w:hAnsi="Times New Roman" w:eastAsia="仿宋_GB2312" w:cs="仿宋_GB2312"/>
          <w:color w:val="auto"/>
          <w:kern w:val="2"/>
          <w:sz w:val="32"/>
          <w:szCs w:val="32"/>
          <w:highlight w:val="none"/>
          <w:lang w:val="en-US" w:eastAsia="zh-CN" w:bidi="ar-SA"/>
        </w:rPr>
        <w:t>（项）</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支出决算为</w:t>
      </w:r>
      <w:r>
        <w:rPr>
          <w:rFonts w:hint="eastAsia" w:eastAsia="仿宋_GB2312" w:cs="仿宋_GB2312"/>
          <w:color w:val="auto"/>
          <w:kern w:val="2"/>
          <w:sz w:val="32"/>
          <w:szCs w:val="32"/>
          <w:highlight w:val="none"/>
          <w:lang w:val="en-US" w:eastAsia="zh-CN" w:bidi="ar-SA"/>
        </w:rPr>
        <w:t>1.3</w:t>
      </w:r>
      <w:r>
        <w:rPr>
          <w:rFonts w:hint="eastAsia" w:ascii="Times New Roman" w:hAnsi="Times New Roman" w:eastAsia="仿宋_GB2312" w:cs="仿宋_GB2312"/>
          <w:color w:val="auto"/>
          <w:kern w:val="2"/>
          <w:sz w:val="32"/>
          <w:szCs w:val="32"/>
          <w:highlight w:val="none"/>
          <w:lang w:val="en-US" w:eastAsia="zh-CN" w:bidi="ar-SA"/>
        </w:rPr>
        <w:t>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%，决算数等于预算数</w:t>
      </w:r>
      <w:r>
        <w:rPr>
          <w:rFonts w:hint="eastAsia" w:eastAsia="仿宋_GB2312" w:cs="仿宋_GB2312"/>
          <w:color w:val="auto"/>
          <w:kern w:val="2"/>
          <w:sz w:val="32"/>
          <w:szCs w:val="32"/>
          <w:highlight w:val="none"/>
          <w:lang w:val="en-US" w:eastAsia="zh-CN" w:bidi="ar-SA"/>
        </w:rPr>
        <w:t>。</w:t>
      </w:r>
    </w:p>
    <w:p w14:paraId="33BB66EA">
      <w:pPr>
        <w:spacing w:line="600" w:lineRule="exact"/>
        <w:ind w:firstLine="640"/>
        <w:rPr>
          <w:rFonts w:hint="eastAsia"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5.社会保障和就业</w:t>
      </w:r>
      <w:r>
        <w:rPr>
          <w:rFonts w:hint="eastAsia" w:eastAsia="仿宋_GB2312" w:cs="仿宋_GB2312"/>
          <w:color w:val="auto"/>
          <w:kern w:val="2"/>
          <w:sz w:val="32"/>
          <w:szCs w:val="32"/>
          <w:highlight w:val="none"/>
          <w:lang w:val="en-US" w:eastAsia="zh-CN" w:bidi="ar-SA"/>
        </w:rPr>
        <w:t>支出</w:t>
      </w:r>
      <w:r>
        <w:rPr>
          <w:rFonts w:hint="eastAsia" w:ascii="Times New Roman" w:hAnsi="Times New Roman" w:eastAsia="仿宋_GB2312" w:cs="仿宋_GB2312"/>
          <w:color w:val="auto"/>
          <w:kern w:val="2"/>
          <w:sz w:val="32"/>
          <w:szCs w:val="32"/>
          <w:highlight w:val="none"/>
          <w:lang w:val="en-US" w:eastAsia="zh-CN" w:bidi="ar-SA"/>
        </w:rPr>
        <w:t>（类）</w:t>
      </w:r>
      <w:r>
        <w:rPr>
          <w:rFonts w:hint="eastAsia" w:eastAsia="仿宋_GB2312" w:cs="仿宋_GB2312"/>
          <w:color w:val="auto"/>
          <w:kern w:val="2"/>
          <w:sz w:val="32"/>
          <w:szCs w:val="32"/>
          <w:highlight w:val="none"/>
          <w:lang w:val="en-US" w:eastAsia="zh-CN" w:bidi="ar-SA"/>
        </w:rPr>
        <w:t>其他社会保障和就业支出</w:t>
      </w:r>
      <w:r>
        <w:rPr>
          <w:rFonts w:hint="eastAsia" w:ascii="Times New Roman" w:hAnsi="Times New Roman" w:eastAsia="仿宋_GB2312" w:cs="仿宋_GB2312"/>
          <w:color w:val="auto"/>
          <w:kern w:val="2"/>
          <w:sz w:val="32"/>
          <w:szCs w:val="32"/>
          <w:highlight w:val="none"/>
          <w:lang w:val="en-US" w:eastAsia="zh-CN" w:bidi="ar-SA"/>
        </w:rPr>
        <w:t>（款）</w:t>
      </w:r>
      <w:r>
        <w:rPr>
          <w:rFonts w:hint="eastAsia" w:eastAsia="仿宋_GB2312" w:cs="仿宋_GB2312"/>
          <w:color w:val="auto"/>
          <w:kern w:val="2"/>
          <w:sz w:val="32"/>
          <w:szCs w:val="32"/>
          <w:highlight w:val="none"/>
          <w:lang w:val="en-US" w:eastAsia="zh-CN" w:bidi="ar-SA"/>
        </w:rPr>
        <w:t>失业、工伤保险（行政）</w:t>
      </w:r>
      <w:r>
        <w:rPr>
          <w:rFonts w:hint="eastAsia" w:ascii="Times New Roman" w:hAnsi="Times New Roman" w:eastAsia="仿宋_GB2312" w:cs="仿宋_GB2312"/>
          <w:color w:val="auto"/>
          <w:kern w:val="2"/>
          <w:sz w:val="32"/>
          <w:szCs w:val="32"/>
          <w:highlight w:val="none"/>
          <w:lang w:val="en-US" w:eastAsia="zh-CN" w:bidi="ar-SA"/>
        </w:rPr>
        <w:t>（项）</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支出决算为</w:t>
      </w:r>
      <w:r>
        <w:rPr>
          <w:rFonts w:hint="eastAsia" w:eastAsia="仿宋_GB2312" w:cs="仿宋_GB2312"/>
          <w:color w:val="auto"/>
          <w:kern w:val="2"/>
          <w:sz w:val="32"/>
          <w:szCs w:val="32"/>
          <w:highlight w:val="none"/>
          <w:lang w:val="en-US" w:eastAsia="zh-CN" w:bidi="ar-SA"/>
        </w:rPr>
        <w:t>0.13</w:t>
      </w:r>
      <w:r>
        <w:rPr>
          <w:rFonts w:hint="eastAsia" w:ascii="Times New Roman" w:hAnsi="Times New Roman" w:eastAsia="仿宋_GB2312" w:cs="仿宋_GB2312"/>
          <w:color w:val="auto"/>
          <w:kern w:val="2"/>
          <w:sz w:val="32"/>
          <w:szCs w:val="32"/>
          <w:highlight w:val="none"/>
          <w:lang w:val="en-US" w:eastAsia="zh-CN" w:bidi="ar-SA"/>
        </w:rPr>
        <w:t>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%，决算数等于预算数</w:t>
      </w:r>
      <w:r>
        <w:rPr>
          <w:rFonts w:hint="eastAsia" w:eastAsia="仿宋_GB2312" w:cs="仿宋_GB2312"/>
          <w:color w:val="auto"/>
          <w:kern w:val="2"/>
          <w:sz w:val="32"/>
          <w:szCs w:val="32"/>
          <w:highlight w:val="none"/>
          <w:lang w:val="en-US" w:eastAsia="zh-CN" w:bidi="ar-SA"/>
        </w:rPr>
        <w:t>。</w:t>
      </w:r>
    </w:p>
    <w:p w14:paraId="3A13B2CC">
      <w:pPr>
        <w:spacing w:line="600" w:lineRule="exact"/>
        <w:ind w:firstLine="640" w:firstLineChars="200"/>
        <w:rPr>
          <w:rFonts w:hint="eastAsia"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6.卫生健康</w:t>
      </w:r>
      <w:r>
        <w:rPr>
          <w:rFonts w:hint="eastAsia" w:eastAsia="仿宋_GB2312" w:cs="仿宋_GB2312"/>
          <w:color w:val="auto"/>
          <w:kern w:val="2"/>
          <w:sz w:val="32"/>
          <w:szCs w:val="32"/>
          <w:highlight w:val="none"/>
          <w:lang w:val="en-US" w:eastAsia="zh-CN" w:bidi="ar-SA"/>
        </w:rPr>
        <w:t>支出</w:t>
      </w:r>
      <w:r>
        <w:rPr>
          <w:rFonts w:hint="eastAsia" w:ascii="Times New Roman" w:hAnsi="Times New Roman" w:eastAsia="仿宋_GB2312" w:cs="仿宋_GB2312"/>
          <w:color w:val="auto"/>
          <w:kern w:val="2"/>
          <w:sz w:val="32"/>
          <w:szCs w:val="32"/>
          <w:highlight w:val="none"/>
          <w:lang w:val="en-US" w:eastAsia="zh-CN" w:bidi="ar-SA"/>
        </w:rPr>
        <w:t>（类）</w:t>
      </w:r>
      <w:r>
        <w:rPr>
          <w:rFonts w:hint="eastAsia" w:eastAsia="仿宋_GB2312" w:cs="仿宋_GB2312"/>
          <w:color w:val="auto"/>
          <w:kern w:val="2"/>
          <w:sz w:val="32"/>
          <w:szCs w:val="32"/>
          <w:highlight w:val="none"/>
          <w:lang w:val="en-US" w:eastAsia="zh-CN" w:bidi="ar-SA"/>
        </w:rPr>
        <w:t>行政单位医疗</w:t>
      </w:r>
      <w:r>
        <w:rPr>
          <w:rFonts w:hint="eastAsia" w:ascii="Times New Roman" w:hAnsi="Times New Roman" w:eastAsia="仿宋_GB2312" w:cs="仿宋_GB2312"/>
          <w:color w:val="auto"/>
          <w:kern w:val="2"/>
          <w:sz w:val="32"/>
          <w:szCs w:val="32"/>
          <w:highlight w:val="none"/>
          <w:lang w:val="en-US" w:eastAsia="zh-CN" w:bidi="ar-SA"/>
        </w:rPr>
        <w:t>（款）</w:t>
      </w:r>
      <w:r>
        <w:rPr>
          <w:rFonts w:hint="eastAsia" w:eastAsia="仿宋_GB2312" w:cs="仿宋_GB2312"/>
          <w:color w:val="auto"/>
          <w:kern w:val="2"/>
          <w:sz w:val="32"/>
          <w:szCs w:val="32"/>
          <w:highlight w:val="none"/>
          <w:lang w:val="en-US" w:eastAsia="zh-CN" w:bidi="ar-SA"/>
        </w:rPr>
        <w:t>医疗保险（行政）</w:t>
      </w:r>
      <w:r>
        <w:rPr>
          <w:rFonts w:hint="eastAsia" w:ascii="Times New Roman" w:hAnsi="Times New Roman" w:eastAsia="仿宋_GB2312" w:cs="仿宋_GB2312"/>
          <w:color w:val="auto"/>
          <w:kern w:val="2"/>
          <w:sz w:val="32"/>
          <w:szCs w:val="32"/>
          <w:highlight w:val="none"/>
          <w:lang w:val="en-US" w:eastAsia="zh-CN" w:bidi="ar-SA"/>
        </w:rPr>
        <w:t>（项）</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支出决算为</w:t>
      </w:r>
      <w:r>
        <w:rPr>
          <w:rFonts w:hint="eastAsia" w:eastAsia="仿宋_GB2312" w:cs="仿宋_GB2312"/>
          <w:color w:val="auto"/>
          <w:kern w:val="2"/>
          <w:sz w:val="32"/>
          <w:szCs w:val="32"/>
          <w:highlight w:val="none"/>
          <w:lang w:val="en-US" w:eastAsia="zh-CN" w:bidi="ar-SA"/>
        </w:rPr>
        <w:t>4.82</w:t>
      </w:r>
      <w:r>
        <w:rPr>
          <w:rFonts w:hint="eastAsia" w:ascii="Times New Roman" w:hAnsi="Times New Roman" w:eastAsia="仿宋_GB2312" w:cs="仿宋_GB2312"/>
          <w:color w:val="auto"/>
          <w:kern w:val="2"/>
          <w:sz w:val="32"/>
          <w:szCs w:val="32"/>
          <w:highlight w:val="none"/>
          <w:lang w:val="en-US" w:eastAsia="zh-CN" w:bidi="ar-SA"/>
        </w:rPr>
        <w:t>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%，决算数等于预算数</w:t>
      </w:r>
      <w:r>
        <w:rPr>
          <w:rFonts w:hint="eastAsia" w:eastAsia="仿宋_GB2312" w:cs="仿宋_GB2312"/>
          <w:color w:val="auto"/>
          <w:kern w:val="2"/>
          <w:sz w:val="32"/>
          <w:szCs w:val="32"/>
          <w:highlight w:val="none"/>
          <w:lang w:val="en-US" w:eastAsia="zh-CN" w:bidi="ar-SA"/>
        </w:rPr>
        <w:t>。</w:t>
      </w:r>
    </w:p>
    <w:p w14:paraId="2BC3F546">
      <w:pPr>
        <w:spacing w:line="600" w:lineRule="exact"/>
        <w:ind w:firstLine="640" w:firstLineChars="20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7.卫生健康</w:t>
      </w:r>
      <w:r>
        <w:rPr>
          <w:rFonts w:hint="eastAsia" w:eastAsia="仿宋_GB2312" w:cs="仿宋_GB2312"/>
          <w:color w:val="auto"/>
          <w:kern w:val="2"/>
          <w:sz w:val="32"/>
          <w:szCs w:val="32"/>
          <w:highlight w:val="none"/>
          <w:lang w:val="en-US" w:eastAsia="zh-CN" w:bidi="ar-SA"/>
        </w:rPr>
        <w:t>支出</w:t>
      </w:r>
      <w:r>
        <w:rPr>
          <w:rFonts w:hint="eastAsia" w:ascii="Times New Roman" w:hAnsi="Times New Roman" w:eastAsia="仿宋_GB2312" w:cs="仿宋_GB2312"/>
          <w:color w:val="auto"/>
          <w:kern w:val="2"/>
          <w:sz w:val="32"/>
          <w:szCs w:val="32"/>
          <w:highlight w:val="none"/>
          <w:lang w:val="en-US" w:eastAsia="zh-CN" w:bidi="ar-SA"/>
        </w:rPr>
        <w:t>（类）</w:t>
      </w:r>
      <w:r>
        <w:rPr>
          <w:rFonts w:hint="eastAsia" w:eastAsia="仿宋_GB2312" w:cs="仿宋_GB2312"/>
          <w:color w:val="auto"/>
          <w:kern w:val="2"/>
          <w:sz w:val="32"/>
          <w:szCs w:val="32"/>
          <w:highlight w:val="none"/>
          <w:lang w:val="en-US" w:eastAsia="zh-CN" w:bidi="ar-SA"/>
        </w:rPr>
        <w:t>公务员医疗补助</w:t>
      </w:r>
      <w:r>
        <w:rPr>
          <w:rFonts w:hint="eastAsia" w:ascii="Times New Roman" w:hAnsi="Times New Roman" w:eastAsia="仿宋_GB2312" w:cs="仿宋_GB2312"/>
          <w:color w:val="auto"/>
          <w:kern w:val="2"/>
          <w:sz w:val="32"/>
          <w:szCs w:val="32"/>
          <w:highlight w:val="none"/>
          <w:lang w:val="en-US" w:eastAsia="zh-CN" w:bidi="ar-SA"/>
        </w:rPr>
        <w:t>（款）</w:t>
      </w:r>
      <w:r>
        <w:rPr>
          <w:rFonts w:hint="eastAsia" w:eastAsia="仿宋_GB2312" w:cs="仿宋_GB2312"/>
          <w:color w:val="auto"/>
          <w:kern w:val="2"/>
          <w:sz w:val="32"/>
          <w:szCs w:val="32"/>
          <w:highlight w:val="none"/>
          <w:lang w:val="en-US" w:eastAsia="zh-CN" w:bidi="ar-SA"/>
        </w:rPr>
        <w:t>医疗补助（行政）</w:t>
      </w:r>
      <w:r>
        <w:rPr>
          <w:rFonts w:hint="eastAsia" w:ascii="Times New Roman" w:hAnsi="Times New Roman" w:eastAsia="仿宋_GB2312" w:cs="仿宋_GB2312"/>
          <w:color w:val="auto"/>
          <w:kern w:val="2"/>
          <w:sz w:val="32"/>
          <w:szCs w:val="32"/>
          <w:highlight w:val="none"/>
          <w:lang w:val="en-US" w:eastAsia="zh-CN" w:bidi="ar-SA"/>
        </w:rPr>
        <w:t>（项）</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支出决算为</w:t>
      </w:r>
      <w:r>
        <w:rPr>
          <w:rFonts w:hint="eastAsia" w:eastAsia="仿宋_GB2312" w:cs="仿宋_GB2312"/>
          <w:color w:val="auto"/>
          <w:kern w:val="2"/>
          <w:sz w:val="32"/>
          <w:szCs w:val="32"/>
          <w:highlight w:val="none"/>
          <w:lang w:val="en-US" w:eastAsia="zh-CN" w:bidi="ar-SA"/>
        </w:rPr>
        <w:t>0.6</w:t>
      </w:r>
      <w:r>
        <w:rPr>
          <w:rFonts w:hint="eastAsia" w:ascii="Times New Roman" w:hAnsi="Times New Roman" w:eastAsia="仿宋_GB2312" w:cs="仿宋_GB2312"/>
          <w:color w:val="auto"/>
          <w:kern w:val="2"/>
          <w:sz w:val="32"/>
          <w:szCs w:val="32"/>
          <w:highlight w:val="none"/>
          <w:lang w:val="en-US" w:eastAsia="zh-CN" w:bidi="ar-SA"/>
        </w:rPr>
        <w:t>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%，决算数等于预算数</w:t>
      </w:r>
      <w:r>
        <w:rPr>
          <w:rFonts w:hint="eastAsia" w:eastAsia="仿宋_GB2312" w:cs="仿宋_GB2312"/>
          <w:color w:val="auto"/>
          <w:kern w:val="2"/>
          <w:sz w:val="32"/>
          <w:szCs w:val="32"/>
          <w:highlight w:val="none"/>
          <w:lang w:val="en-US" w:eastAsia="zh-CN" w:bidi="ar-SA"/>
        </w:rPr>
        <w:t>。</w:t>
      </w:r>
    </w:p>
    <w:p w14:paraId="08844BE4">
      <w:pPr>
        <w:spacing w:line="600" w:lineRule="exact"/>
        <w:ind w:firstLine="640" w:firstLineChars="200"/>
        <w:rPr>
          <w:rFonts w:hint="eastAsia"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8.住房保障</w:t>
      </w:r>
      <w:r>
        <w:rPr>
          <w:rFonts w:hint="eastAsia" w:eastAsia="仿宋_GB2312" w:cs="仿宋_GB2312"/>
          <w:color w:val="auto"/>
          <w:kern w:val="2"/>
          <w:sz w:val="32"/>
          <w:szCs w:val="32"/>
          <w:highlight w:val="none"/>
          <w:lang w:val="en-US" w:eastAsia="zh-CN" w:bidi="ar-SA"/>
        </w:rPr>
        <w:t>支出</w:t>
      </w:r>
      <w:r>
        <w:rPr>
          <w:rFonts w:hint="eastAsia" w:ascii="Times New Roman" w:hAnsi="Times New Roman" w:eastAsia="仿宋_GB2312" w:cs="仿宋_GB2312"/>
          <w:color w:val="auto"/>
          <w:kern w:val="2"/>
          <w:sz w:val="32"/>
          <w:szCs w:val="32"/>
          <w:highlight w:val="none"/>
          <w:lang w:val="en-US" w:eastAsia="zh-CN" w:bidi="ar-SA"/>
        </w:rPr>
        <w:t>（类）</w:t>
      </w:r>
      <w:r>
        <w:rPr>
          <w:rFonts w:hint="eastAsia" w:eastAsia="仿宋_GB2312" w:cs="仿宋_GB2312"/>
          <w:color w:val="auto"/>
          <w:kern w:val="2"/>
          <w:sz w:val="32"/>
          <w:szCs w:val="32"/>
          <w:highlight w:val="none"/>
          <w:lang w:val="en-US" w:eastAsia="zh-CN" w:bidi="ar-SA"/>
        </w:rPr>
        <w:t>住房公积金</w:t>
      </w:r>
      <w:r>
        <w:rPr>
          <w:rFonts w:hint="eastAsia" w:ascii="Times New Roman" w:hAnsi="Times New Roman" w:eastAsia="仿宋_GB2312" w:cs="仿宋_GB2312"/>
          <w:color w:val="auto"/>
          <w:kern w:val="2"/>
          <w:sz w:val="32"/>
          <w:szCs w:val="32"/>
          <w:highlight w:val="none"/>
          <w:lang w:val="en-US" w:eastAsia="zh-CN" w:bidi="ar-SA"/>
        </w:rPr>
        <w:t>（款）</w:t>
      </w:r>
      <w:r>
        <w:rPr>
          <w:rFonts w:hint="eastAsia" w:eastAsia="仿宋_GB2312" w:cs="仿宋_GB2312"/>
          <w:color w:val="auto"/>
          <w:kern w:val="2"/>
          <w:sz w:val="32"/>
          <w:szCs w:val="32"/>
          <w:highlight w:val="none"/>
          <w:lang w:val="en-US" w:eastAsia="zh-CN" w:bidi="ar-SA"/>
        </w:rPr>
        <w:t>住房公积金（行政）</w:t>
      </w:r>
      <w:r>
        <w:rPr>
          <w:rFonts w:hint="eastAsia" w:ascii="Times New Roman" w:hAnsi="Times New Roman" w:eastAsia="仿宋_GB2312" w:cs="仿宋_GB2312"/>
          <w:color w:val="auto"/>
          <w:kern w:val="2"/>
          <w:sz w:val="32"/>
          <w:szCs w:val="32"/>
          <w:highlight w:val="none"/>
          <w:lang w:val="en-US" w:eastAsia="zh-CN" w:bidi="ar-SA"/>
        </w:rPr>
        <w:t>（项）</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支出决算为</w:t>
      </w:r>
      <w:r>
        <w:rPr>
          <w:rFonts w:hint="eastAsia" w:eastAsia="仿宋_GB2312" w:cs="仿宋_GB2312"/>
          <w:color w:val="auto"/>
          <w:kern w:val="2"/>
          <w:sz w:val="32"/>
          <w:szCs w:val="32"/>
          <w:highlight w:val="none"/>
          <w:lang w:val="en-US" w:eastAsia="zh-CN" w:bidi="ar-SA"/>
        </w:rPr>
        <w:t>10.48</w:t>
      </w:r>
      <w:r>
        <w:rPr>
          <w:rFonts w:hint="eastAsia" w:ascii="Times New Roman" w:hAnsi="Times New Roman" w:eastAsia="仿宋_GB2312" w:cs="仿宋_GB2312"/>
          <w:color w:val="auto"/>
          <w:kern w:val="2"/>
          <w:sz w:val="32"/>
          <w:szCs w:val="32"/>
          <w:highlight w:val="none"/>
          <w:lang w:val="en-US" w:eastAsia="zh-CN" w:bidi="ar-SA"/>
        </w:rPr>
        <w:t>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%，决算数等于预算数</w:t>
      </w:r>
      <w:r>
        <w:rPr>
          <w:rFonts w:hint="eastAsia" w:eastAsia="仿宋_GB2312" w:cs="仿宋_GB2312"/>
          <w:color w:val="auto"/>
          <w:kern w:val="2"/>
          <w:sz w:val="32"/>
          <w:szCs w:val="32"/>
          <w:highlight w:val="none"/>
          <w:lang w:val="en-US" w:eastAsia="zh-CN" w:bidi="ar-SA"/>
        </w:rPr>
        <w:t>。</w:t>
      </w:r>
    </w:p>
    <w:p w14:paraId="6BF2E979">
      <w:pPr>
        <w:spacing w:line="600" w:lineRule="exact"/>
        <w:ind w:firstLine="640" w:firstLineChars="200"/>
        <w:rPr>
          <w:rFonts w:hint="eastAsia"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9.粮油和物质储备</w:t>
      </w:r>
      <w:r>
        <w:rPr>
          <w:rFonts w:hint="eastAsia" w:eastAsia="仿宋_GB2312" w:cs="仿宋_GB2312"/>
          <w:color w:val="auto"/>
          <w:kern w:val="2"/>
          <w:sz w:val="32"/>
          <w:szCs w:val="32"/>
          <w:highlight w:val="none"/>
          <w:lang w:val="en-US" w:eastAsia="zh-CN" w:bidi="ar-SA"/>
        </w:rPr>
        <w:t>支出</w:t>
      </w:r>
      <w:r>
        <w:rPr>
          <w:rFonts w:hint="eastAsia" w:ascii="Times New Roman" w:hAnsi="Times New Roman" w:eastAsia="仿宋_GB2312" w:cs="仿宋_GB2312"/>
          <w:color w:val="auto"/>
          <w:kern w:val="2"/>
          <w:sz w:val="32"/>
          <w:szCs w:val="32"/>
          <w:highlight w:val="none"/>
          <w:lang w:val="en-US" w:eastAsia="zh-CN" w:bidi="ar-SA"/>
        </w:rPr>
        <w:t>（类）</w:t>
      </w:r>
      <w:r>
        <w:rPr>
          <w:rFonts w:hint="eastAsia" w:eastAsia="仿宋_GB2312" w:cs="仿宋_GB2312"/>
          <w:color w:val="auto"/>
          <w:kern w:val="2"/>
          <w:sz w:val="32"/>
          <w:szCs w:val="32"/>
          <w:highlight w:val="none"/>
          <w:lang w:val="en-US" w:eastAsia="zh-CN" w:bidi="ar-SA"/>
        </w:rPr>
        <w:t>行政运行</w:t>
      </w:r>
      <w:r>
        <w:rPr>
          <w:rFonts w:hint="eastAsia" w:ascii="Times New Roman" w:hAnsi="Times New Roman" w:eastAsia="仿宋_GB2312" w:cs="仿宋_GB2312"/>
          <w:color w:val="auto"/>
          <w:kern w:val="2"/>
          <w:sz w:val="32"/>
          <w:szCs w:val="32"/>
          <w:highlight w:val="none"/>
          <w:lang w:val="en-US" w:eastAsia="zh-CN" w:bidi="ar-SA"/>
        </w:rPr>
        <w:t>（款）</w:t>
      </w:r>
      <w:r>
        <w:rPr>
          <w:rFonts w:hint="eastAsia" w:eastAsia="仿宋_GB2312" w:cs="仿宋_GB2312"/>
          <w:color w:val="auto"/>
          <w:kern w:val="2"/>
          <w:sz w:val="32"/>
          <w:szCs w:val="32"/>
          <w:highlight w:val="none"/>
          <w:lang w:val="en-US" w:eastAsia="zh-CN" w:bidi="ar-SA"/>
        </w:rPr>
        <w:t>工资性支出（行政）</w:t>
      </w:r>
      <w:r>
        <w:rPr>
          <w:rFonts w:hint="eastAsia" w:ascii="Times New Roman" w:hAnsi="Times New Roman" w:eastAsia="仿宋_GB2312" w:cs="仿宋_GB2312"/>
          <w:color w:val="auto"/>
          <w:kern w:val="2"/>
          <w:sz w:val="32"/>
          <w:szCs w:val="32"/>
          <w:highlight w:val="none"/>
          <w:lang w:val="en-US" w:eastAsia="zh-CN" w:bidi="ar-SA"/>
        </w:rPr>
        <w:t>（项）</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支出决算为</w:t>
      </w:r>
      <w:r>
        <w:rPr>
          <w:rFonts w:hint="eastAsia" w:eastAsia="仿宋_GB2312" w:cs="仿宋_GB2312"/>
          <w:color w:val="auto"/>
          <w:kern w:val="2"/>
          <w:sz w:val="32"/>
          <w:szCs w:val="32"/>
          <w:highlight w:val="none"/>
          <w:lang w:val="en-US" w:eastAsia="zh-CN" w:bidi="ar-SA"/>
        </w:rPr>
        <w:t>59.49</w:t>
      </w:r>
      <w:r>
        <w:rPr>
          <w:rFonts w:hint="eastAsia" w:ascii="Times New Roman" w:hAnsi="Times New Roman" w:eastAsia="仿宋_GB2312" w:cs="仿宋_GB2312"/>
          <w:color w:val="auto"/>
          <w:kern w:val="2"/>
          <w:sz w:val="32"/>
          <w:szCs w:val="32"/>
          <w:highlight w:val="none"/>
          <w:lang w:val="en-US" w:eastAsia="zh-CN" w:bidi="ar-SA"/>
        </w:rPr>
        <w:t>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%，决算数等于预算数</w:t>
      </w:r>
      <w:r>
        <w:rPr>
          <w:rFonts w:hint="eastAsia" w:eastAsia="仿宋_GB2312" w:cs="仿宋_GB2312"/>
          <w:color w:val="auto"/>
          <w:kern w:val="2"/>
          <w:sz w:val="32"/>
          <w:szCs w:val="32"/>
          <w:highlight w:val="none"/>
          <w:lang w:val="en-US" w:eastAsia="zh-CN" w:bidi="ar-SA"/>
        </w:rPr>
        <w:t>。</w:t>
      </w:r>
    </w:p>
    <w:p w14:paraId="17B6F153">
      <w:pPr>
        <w:spacing w:line="600" w:lineRule="exact"/>
        <w:ind w:firstLine="640" w:firstLineChars="20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10.粮油和物质储备</w:t>
      </w:r>
      <w:r>
        <w:rPr>
          <w:rFonts w:hint="eastAsia" w:eastAsia="仿宋_GB2312" w:cs="仿宋_GB2312"/>
          <w:color w:val="auto"/>
          <w:kern w:val="2"/>
          <w:sz w:val="32"/>
          <w:szCs w:val="32"/>
          <w:highlight w:val="none"/>
          <w:lang w:val="en-US" w:eastAsia="zh-CN" w:bidi="ar-SA"/>
        </w:rPr>
        <w:t>支出</w:t>
      </w:r>
      <w:r>
        <w:rPr>
          <w:rFonts w:hint="eastAsia" w:ascii="Times New Roman" w:hAnsi="Times New Roman" w:eastAsia="仿宋_GB2312" w:cs="仿宋_GB2312"/>
          <w:color w:val="auto"/>
          <w:kern w:val="2"/>
          <w:sz w:val="32"/>
          <w:szCs w:val="32"/>
          <w:highlight w:val="none"/>
          <w:lang w:val="en-US" w:eastAsia="zh-CN" w:bidi="ar-SA"/>
        </w:rPr>
        <w:t>（类）</w:t>
      </w:r>
      <w:r>
        <w:rPr>
          <w:rFonts w:hint="eastAsia" w:eastAsia="仿宋_GB2312" w:cs="仿宋_GB2312"/>
          <w:color w:val="auto"/>
          <w:kern w:val="2"/>
          <w:sz w:val="32"/>
          <w:szCs w:val="32"/>
          <w:highlight w:val="none"/>
          <w:lang w:val="en-US" w:eastAsia="zh-CN" w:bidi="ar-SA"/>
        </w:rPr>
        <w:t>行政运行</w:t>
      </w:r>
      <w:r>
        <w:rPr>
          <w:rFonts w:hint="eastAsia" w:ascii="Times New Roman" w:hAnsi="Times New Roman" w:eastAsia="仿宋_GB2312" w:cs="仿宋_GB2312"/>
          <w:color w:val="auto"/>
          <w:kern w:val="2"/>
          <w:sz w:val="32"/>
          <w:szCs w:val="32"/>
          <w:highlight w:val="none"/>
          <w:lang w:val="en-US" w:eastAsia="zh-CN" w:bidi="ar-SA"/>
        </w:rPr>
        <w:t>（款）伙食补助费（项）</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支出决算为</w:t>
      </w:r>
      <w:r>
        <w:rPr>
          <w:rFonts w:hint="eastAsia" w:eastAsia="仿宋_GB2312" w:cs="仿宋_GB2312"/>
          <w:color w:val="auto"/>
          <w:kern w:val="2"/>
          <w:sz w:val="32"/>
          <w:szCs w:val="32"/>
          <w:highlight w:val="none"/>
          <w:lang w:val="en-US" w:eastAsia="zh-CN" w:bidi="ar-SA"/>
        </w:rPr>
        <w:t>1.54</w:t>
      </w:r>
      <w:r>
        <w:rPr>
          <w:rFonts w:hint="eastAsia" w:ascii="Times New Roman" w:hAnsi="Times New Roman" w:eastAsia="仿宋_GB2312" w:cs="仿宋_GB2312"/>
          <w:color w:val="auto"/>
          <w:kern w:val="2"/>
          <w:sz w:val="32"/>
          <w:szCs w:val="32"/>
          <w:highlight w:val="none"/>
          <w:lang w:val="en-US" w:eastAsia="zh-CN" w:bidi="ar-SA"/>
        </w:rPr>
        <w:t>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%，决算数等于预算数</w:t>
      </w:r>
      <w:r>
        <w:rPr>
          <w:rFonts w:hint="eastAsia" w:eastAsia="仿宋_GB2312" w:cs="仿宋_GB2312"/>
          <w:color w:val="auto"/>
          <w:kern w:val="2"/>
          <w:sz w:val="32"/>
          <w:szCs w:val="32"/>
          <w:highlight w:val="none"/>
          <w:lang w:val="en-US" w:eastAsia="zh-CN" w:bidi="ar-SA"/>
        </w:rPr>
        <w:t>。</w:t>
      </w:r>
    </w:p>
    <w:p w14:paraId="0258E079">
      <w:pPr>
        <w:spacing w:line="600" w:lineRule="exact"/>
        <w:ind w:firstLine="640" w:firstLineChars="20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11.粮油和物质储备</w:t>
      </w:r>
      <w:r>
        <w:rPr>
          <w:rFonts w:hint="eastAsia" w:eastAsia="仿宋_GB2312" w:cs="仿宋_GB2312"/>
          <w:color w:val="auto"/>
          <w:kern w:val="2"/>
          <w:sz w:val="32"/>
          <w:szCs w:val="32"/>
          <w:highlight w:val="none"/>
          <w:lang w:val="en-US" w:eastAsia="zh-CN" w:bidi="ar-SA"/>
        </w:rPr>
        <w:t>支出</w:t>
      </w:r>
      <w:r>
        <w:rPr>
          <w:rFonts w:hint="eastAsia" w:ascii="Times New Roman" w:hAnsi="Times New Roman" w:eastAsia="仿宋_GB2312" w:cs="仿宋_GB2312"/>
          <w:color w:val="auto"/>
          <w:kern w:val="2"/>
          <w:sz w:val="32"/>
          <w:szCs w:val="32"/>
          <w:highlight w:val="none"/>
          <w:lang w:val="en-US" w:eastAsia="zh-CN" w:bidi="ar-SA"/>
        </w:rPr>
        <w:t>（类）</w:t>
      </w:r>
      <w:r>
        <w:rPr>
          <w:rFonts w:hint="eastAsia" w:eastAsia="仿宋_GB2312" w:cs="仿宋_GB2312"/>
          <w:color w:val="auto"/>
          <w:kern w:val="2"/>
          <w:sz w:val="32"/>
          <w:szCs w:val="32"/>
          <w:highlight w:val="none"/>
          <w:lang w:val="en-US" w:eastAsia="zh-CN" w:bidi="ar-SA"/>
        </w:rPr>
        <w:t>行政运行</w:t>
      </w:r>
      <w:r>
        <w:rPr>
          <w:rFonts w:hint="eastAsia" w:ascii="Times New Roman" w:hAnsi="Times New Roman" w:eastAsia="仿宋_GB2312" w:cs="仿宋_GB2312"/>
          <w:color w:val="auto"/>
          <w:kern w:val="2"/>
          <w:sz w:val="32"/>
          <w:szCs w:val="32"/>
          <w:highlight w:val="none"/>
          <w:lang w:val="en-US" w:eastAsia="zh-CN" w:bidi="ar-SA"/>
        </w:rPr>
        <w:t>（款）日常公用经费（项）</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支出决算为</w:t>
      </w:r>
      <w:r>
        <w:rPr>
          <w:rFonts w:hint="eastAsia" w:eastAsia="仿宋_GB2312" w:cs="仿宋_GB2312"/>
          <w:color w:val="auto"/>
          <w:kern w:val="2"/>
          <w:sz w:val="32"/>
          <w:szCs w:val="32"/>
          <w:highlight w:val="none"/>
          <w:lang w:val="en-US" w:eastAsia="zh-CN" w:bidi="ar-SA"/>
        </w:rPr>
        <w:t>9.98</w:t>
      </w:r>
      <w:r>
        <w:rPr>
          <w:rFonts w:hint="eastAsia" w:ascii="Times New Roman" w:hAnsi="Times New Roman" w:eastAsia="仿宋_GB2312" w:cs="仿宋_GB2312"/>
          <w:color w:val="auto"/>
          <w:kern w:val="2"/>
          <w:sz w:val="32"/>
          <w:szCs w:val="32"/>
          <w:highlight w:val="none"/>
          <w:lang w:val="en-US" w:eastAsia="zh-CN" w:bidi="ar-SA"/>
        </w:rPr>
        <w:t>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%，决算数等于预算数</w:t>
      </w:r>
      <w:r>
        <w:rPr>
          <w:rFonts w:hint="eastAsia" w:eastAsia="仿宋_GB2312" w:cs="仿宋_GB2312"/>
          <w:color w:val="auto"/>
          <w:kern w:val="2"/>
          <w:sz w:val="32"/>
          <w:szCs w:val="32"/>
          <w:highlight w:val="none"/>
          <w:lang w:val="en-US" w:eastAsia="zh-CN" w:bidi="ar-SA"/>
        </w:rPr>
        <w:t>。</w:t>
      </w:r>
    </w:p>
    <w:p w14:paraId="37A3A3B7">
      <w:pPr>
        <w:spacing w:line="600" w:lineRule="exact"/>
        <w:ind w:firstLine="640" w:firstLineChars="20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12.粮油和物质储备</w:t>
      </w:r>
      <w:r>
        <w:rPr>
          <w:rFonts w:hint="eastAsia" w:eastAsia="仿宋_GB2312" w:cs="仿宋_GB2312"/>
          <w:color w:val="auto"/>
          <w:kern w:val="2"/>
          <w:sz w:val="32"/>
          <w:szCs w:val="32"/>
          <w:highlight w:val="none"/>
          <w:lang w:val="en-US" w:eastAsia="zh-CN" w:bidi="ar-SA"/>
        </w:rPr>
        <w:t>支出</w:t>
      </w:r>
      <w:r>
        <w:rPr>
          <w:rFonts w:hint="eastAsia" w:ascii="Times New Roman" w:hAnsi="Times New Roman" w:eastAsia="仿宋_GB2312" w:cs="仿宋_GB2312"/>
          <w:color w:val="auto"/>
          <w:kern w:val="2"/>
          <w:sz w:val="32"/>
          <w:szCs w:val="32"/>
          <w:highlight w:val="none"/>
          <w:lang w:val="en-US" w:eastAsia="zh-CN" w:bidi="ar-SA"/>
        </w:rPr>
        <w:t>（类）</w:t>
      </w:r>
      <w:r>
        <w:rPr>
          <w:rFonts w:hint="eastAsia" w:eastAsia="仿宋_GB2312" w:cs="仿宋_GB2312"/>
          <w:color w:val="auto"/>
          <w:kern w:val="2"/>
          <w:sz w:val="32"/>
          <w:szCs w:val="32"/>
          <w:highlight w:val="none"/>
          <w:lang w:val="en-US" w:eastAsia="zh-CN" w:bidi="ar-SA"/>
        </w:rPr>
        <w:t>行政运行</w:t>
      </w:r>
      <w:r>
        <w:rPr>
          <w:rFonts w:hint="eastAsia" w:ascii="Times New Roman" w:hAnsi="Times New Roman" w:eastAsia="仿宋_GB2312" w:cs="仿宋_GB2312"/>
          <w:color w:val="auto"/>
          <w:kern w:val="2"/>
          <w:sz w:val="32"/>
          <w:szCs w:val="32"/>
          <w:highlight w:val="none"/>
          <w:lang w:val="en-US" w:eastAsia="zh-CN" w:bidi="ar-SA"/>
        </w:rPr>
        <w:t>（款）</w:t>
      </w:r>
      <w:r>
        <w:rPr>
          <w:rFonts w:hint="eastAsia" w:eastAsia="仿宋_GB2312" w:cs="仿宋_GB2312"/>
          <w:color w:val="auto"/>
          <w:kern w:val="2"/>
          <w:sz w:val="32"/>
          <w:szCs w:val="32"/>
          <w:highlight w:val="none"/>
          <w:lang w:val="en-US" w:eastAsia="zh-CN" w:bidi="ar-SA"/>
        </w:rPr>
        <w:t>座机电话费</w:t>
      </w:r>
      <w:r>
        <w:rPr>
          <w:rFonts w:hint="eastAsia" w:ascii="Times New Roman" w:hAnsi="Times New Roman" w:eastAsia="仿宋_GB2312" w:cs="仿宋_GB2312"/>
          <w:color w:val="auto"/>
          <w:kern w:val="2"/>
          <w:sz w:val="32"/>
          <w:szCs w:val="32"/>
          <w:highlight w:val="none"/>
          <w:lang w:val="en-US" w:eastAsia="zh-CN" w:bidi="ar-SA"/>
        </w:rPr>
        <w:t>（项）</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支出决算为</w:t>
      </w:r>
      <w:r>
        <w:rPr>
          <w:rFonts w:hint="eastAsia" w:eastAsia="仿宋_GB2312" w:cs="仿宋_GB2312"/>
          <w:color w:val="auto"/>
          <w:kern w:val="2"/>
          <w:sz w:val="32"/>
          <w:szCs w:val="32"/>
          <w:highlight w:val="none"/>
          <w:lang w:val="en-US" w:eastAsia="zh-CN" w:bidi="ar-SA"/>
        </w:rPr>
        <w:t>0.13</w:t>
      </w:r>
      <w:r>
        <w:rPr>
          <w:rFonts w:hint="eastAsia" w:ascii="Times New Roman" w:hAnsi="Times New Roman" w:eastAsia="仿宋_GB2312" w:cs="仿宋_GB2312"/>
          <w:color w:val="auto"/>
          <w:kern w:val="2"/>
          <w:sz w:val="32"/>
          <w:szCs w:val="32"/>
          <w:highlight w:val="none"/>
          <w:lang w:val="en-US" w:eastAsia="zh-CN" w:bidi="ar-SA"/>
        </w:rPr>
        <w:t>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%，决算数等于预算数</w:t>
      </w:r>
      <w:r>
        <w:rPr>
          <w:rFonts w:hint="eastAsia" w:eastAsia="仿宋_GB2312" w:cs="仿宋_GB2312"/>
          <w:color w:val="auto"/>
          <w:kern w:val="2"/>
          <w:sz w:val="32"/>
          <w:szCs w:val="32"/>
          <w:highlight w:val="none"/>
          <w:lang w:val="en-US" w:eastAsia="zh-CN" w:bidi="ar-SA"/>
        </w:rPr>
        <w:t>。</w:t>
      </w:r>
    </w:p>
    <w:p w14:paraId="6598A44B">
      <w:pPr>
        <w:spacing w:line="600" w:lineRule="exact"/>
        <w:ind w:firstLine="640" w:firstLineChars="200"/>
        <w:rPr>
          <w:rFonts w:hint="eastAsia"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13.粮油和物质储备</w:t>
      </w:r>
      <w:r>
        <w:rPr>
          <w:rFonts w:hint="eastAsia" w:eastAsia="仿宋_GB2312" w:cs="仿宋_GB2312"/>
          <w:color w:val="auto"/>
          <w:kern w:val="2"/>
          <w:sz w:val="32"/>
          <w:szCs w:val="32"/>
          <w:highlight w:val="none"/>
          <w:lang w:val="en-US" w:eastAsia="zh-CN" w:bidi="ar-SA"/>
        </w:rPr>
        <w:t>支出</w:t>
      </w:r>
      <w:r>
        <w:rPr>
          <w:rFonts w:hint="eastAsia" w:ascii="Times New Roman" w:hAnsi="Times New Roman" w:eastAsia="仿宋_GB2312" w:cs="仿宋_GB2312"/>
          <w:color w:val="auto"/>
          <w:kern w:val="2"/>
          <w:sz w:val="32"/>
          <w:szCs w:val="32"/>
          <w:highlight w:val="none"/>
          <w:lang w:val="en-US" w:eastAsia="zh-CN" w:bidi="ar-SA"/>
        </w:rPr>
        <w:t>（类）</w:t>
      </w:r>
      <w:r>
        <w:rPr>
          <w:rFonts w:hint="eastAsia" w:eastAsia="仿宋_GB2312" w:cs="仿宋_GB2312"/>
          <w:color w:val="auto"/>
          <w:kern w:val="2"/>
          <w:sz w:val="32"/>
          <w:szCs w:val="32"/>
          <w:highlight w:val="none"/>
          <w:lang w:val="en-US" w:eastAsia="zh-CN" w:bidi="ar-SA"/>
        </w:rPr>
        <w:t>行政运行</w:t>
      </w:r>
      <w:r>
        <w:rPr>
          <w:rFonts w:hint="eastAsia" w:ascii="Times New Roman" w:hAnsi="Times New Roman" w:eastAsia="仿宋_GB2312" w:cs="仿宋_GB2312"/>
          <w:color w:val="auto"/>
          <w:kern w:val="2"/>
          <w:sz w:val="32"/>
          <w:szCs w:val="32"/>
          <w:highlight w:val="none"/>
          <w:lang w:val="en-US" w:eastAsia="zh-CN" w:bidi="ar-SA"/>
        </w:rPr>
        <w:t>（款）</w:t>
      </w:r>
      <w:r>
        <w:rPr>
          <w:rFonts w:hint="eastAsia" w:eastAsia="仿宋_GB2312" w:cs="仿宋_GB2312"/>
          <w:color w:val="auto"/>
          <w:kern w:val="2"/>
          <w:sz w:val="32"/>
          <w:szCs w:val="32"/>
          <w:highlight w:val="none"/>
          <w:lang w:val="en-US" w:eastAsia="zh-CN" w:bidi="ar-SA"/>
        </w:rPr>
        <w:t>公务交通补贴</w:t>
      </w:r>
      <w:r>
        <w:rPr>
          <w:rFonts w:hint="eastAsia" w:ascii="Times New Roman" w:hAnsi="Times New Roman" w:eastAsia="仿宋_GB2312" w:cs="仿宋_GB2312"/>
          <w:color w:val="auto"/>
          <w:kern w:val="2"/>
          <w:sz w:val="32"/>
          <w:szCs w:val="32"/>
          <w:highlight w:val="none"/>
          <w:lang w:val="en-US" w:eastAsia="zh-CN" w:bidi="ar-SA"/>
        </w:rPr>
        <w:t>（项）</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支出决算为</w:t>
      </w:r>
      <w:r>
        <w:rPr>
          <w:rFonts w:hint="eastAsia" w:eastAsia="仿宋_GB2312" w:cs="仿宋_GB2312"/>
          <w:color w:val="auto"/>
          <w:kern w:val="2"/>
          <w:sz w:val="32"/>
          <w:szCs w:val="32"/>
          <w:highlight w:val="none"/>
          <w:lang w:val="en-US" w:eastAsia="zh-CN" w:bidi="ar-SA"/>
        </w:rPr>
        <w:t>6.14</w:t>
      </w:r>
      <w:r>
        <w:rPr>
          <w:rFonts w:hint="eastAsia" w:ascii="Times New Roman" w:hAnsi="Times New Roman" w:eastAsia="仿宋_GB2312" w:cs="仿宋_GB2312"/>
          <w:color w:val="auto"/>
          <w:kern w:val="2"/>
          <w:sz w:val="32"/>
          <w:szCs w:val="32"/>
          <w:highlight w:val="none"/>
          <w:lang w:val="en-US" w:eastAsia="zh-CN" w:bidi="ar-SA"/>
        </w:rPr>
        <w:t>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%，决算数等于预算数</w:t>
      </w:r>
      <w:r>
        <w:rPr>
          <w:rFonts w:hint="eastAsia" w:eastAsia="仿宋_GB2312" w:cs="仿宋_GB2312"/>
          <w:color w:val="auto"/>
          <w:kern w:val="2"/>
          <w:sz w:val="32"/>
          <w:szCs w:val="32"/>
          <w:highlight w:val="none"/>
          <w:lang w:val="en-US" w:eastAsia="zh-CN" w:bidi="ar-SA"/>
        </w:rPr>
        <w:t>。</w:t>
      </w:r>
    </w:p>
    <w:p w14:paraId="78A6E42F">
      <w:pPr>
        <w:spacing w:line="600" w:lineRule="exact"/>
        <w:ind w:firstLine="640" w:firstLineChars="20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14.粮油和物质储备</w:t>
      </w:r>
      <w:r>
        <w:rPr>
          <w:rFonts w:hint="eastAsia" w:eastAsia="仿宋_GB2312" w:cs="仿宋_GB2312"/>
          <w:color w:val="auto"/>
          <w:kern w:val="2"/>
          <w:sz w:val="32"/>
          <w:szCs w:val="32"/>
          <w:highlight w:val="none"/>
          <w:lang w:val="en-US" w:eastAsia="zh-CN" w:bidi="ar-SA"/>
        </w:rPr>
        <w:t>支出</w:t>
      </w:r>
      <w:r>
        <w:rPr>
          <w:rFonts w:hint="eastAsia" w:ascii="Times New Roman" w:hAnsi="Times New Roman" w:eastAsia="仿宋_GB2312" w:cs="仿宋_GB2312"/>
          <w:color w:val="auto"/>
          <w:kern w:val="2"/>
          <w:sz w:val="32"/>
          <w:szCs w:val="32"/>
          <w:highlight w:val="none"/>
          <w:lang w:val="en-US" w:eastAsia="zh-CN" w:bidi="ar-SA"/>
        </w:rPr>
        <w:t>（类）</w:t>
      </w:r>
      <w:r>
        <w:rPr>
          <w:rFonts w:hint="eastAsia" w:eastAsia="仿宋_GB2312" w:cs="仿宋_GB2312"/>
          <w:color w:val="auto"/>
          <w:kern w:val="2"/>
          <w:sz w:val="32"/>
          <w:szCs w:val="32"/>
          <w:highlight w:val="none"/>
          <w:lang w:val="en-US" w:eastAsia="zh-CN" w:bidi="ar-SA"/>
        </w:rPr>
        <w:t>行政运行</w:t>
      </w:r>
      <w:r>
        <w:rPr>
          <w:rFonts w:hint="eastAsia" w:ascii="Times New Roman" w:hAnsi="Times New Roman" w:eastAsia="仿宋_GB2312" w:cs="仿宋_GB2312"/>
          <w:color w:val="auto"/>
          <w:kern w:val="2"/>
          <w:sz w:val="32"/>
          <w:szCs w:val="32"/>
          <w:highlight w:val="none"/>
          <w:lang w:val="en-US" w:eastAsia="zh-CN" w:bidi="ar-SA"/>
        </w:rPr>
        <w:t>（款）公务员基础绩效奖（项）</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支出决算为</w:t>
      </w:r>
      <w:r>
        <w:rPr>
          <w:rFonts w:hint="eastAsia" w:eastAsia="仿宋_GB2312" w:cs="仿宋_GB2312"/>
          <w:color w:val="auto"/>
          <w:kern w:val="2"/>
          <w:sz w:val="32"/>
          <w:szCs w:val="32"/>
          <w:highlight w:val="none"/>
          <w:lang w:val="en-US" w:eastAsia="zh-CN" w:bidi="ar-SA"/>
        </w:rPr>
        <w:t>22.85</w:t>
      </w:r>
      <w:r>
        <w:rPr>
          <w:rFonts w:hint="eastAsia" w:ascii="Times New Roman" w:hAnsi="Times New Roman" w:eastAsia="仿宋_GB2312" w:cs="仿宋_GB2312"/>
          <w:color w:val="auto"/>
          <w:kern w:val="2"/>
          <w:sz w:val="32"/>
          <w:szCs w:val="32"/>
          <w:highlight w:val="none"/>
          <w:lang w:val="en-US" w:eastAsia="zh-CN" w:bidi="ar-SA"/>
        </w:rPr>
        <w:t>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%，决算数等于预算数</w:t>
      </w:r>
      <w:r>
        <w:rPr>
          <w:rFonts w:hint="eastAsia" w:eastAsia="仿宋_GB2312" w:cs="仿宋_GB2312"/>
          <w:color w:val="auto"/>
          <w:kern w:val="2"/>
          <w:sz w:val="32"/>
          <w:szCs w:val="32"/>
          <w:highlight w:val="none"/>
          <w:lang w:val="en-US" w:eastAsia="zh-CN" w:bidi="ar-SA"/>
        </w:rPr>
        <w:t>。</w:t>
      </w:r>
    </w:p>
    <w:p w14:paraId="75AD7DCF">
      <w:pPr>
        <w:spacing w:line="600" w:lineRule="exact"/>
        <w:ind w:firstLine="640" w:firstLineChars="200"/>
        <w:rPr>
          <w:rFonts w:hint="eastAsia"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15.粮油和物质储备</w:t>
      </w:r>
      <w:r>
        <w:rPr>
          <w:rFonts w:hint="eastAsia" w:eastAsia="仿宋_GB2312" w:cs="仿宋_GB2312"/>
          <w:color w:val="auto"/>
          <w:kern w:val="2"/>
          <w:sz w:val="32"/>
          <w:szCs w:val="32"/>
          <w:highlight w:val="none"/>
          <w:lang w:val="en-US" w:eastAsia="zh-CN" w:bidi="ar-SA"/>
        </w:rPr>
        <w:t>支出</w:t>
      </w:r>
      <w:r>
        <w:rPr>
          <w:rFonts w:hint="eastAsia" w:ascii="Times New Roman" w:hAnsi="Times New Roman" w:eastAsia="仿宋_GB2312" w:cs="仿宋_GB2312"/>
          <w:color w:val="auto"/>
          <w:kern w:val="2"/>
          <w:sz w:val="32"/>
          <w:szCs w:val="32"/>
          <w:highlight w:val="none"/>
          <w:lang w:val="en-US" w:eastAsia="zh-CN" w:bidi="ar-SA"/>
        </w:rPr>
        <w:t>（类）</w:t>
      </w:r>
      <w:r>
        <w:rPr>
          <w:rFonts w:hint="eastAsia" w:eastAsia="仿宋_GB2312" w:cs="仿宋_GB2312"/>
          <w:color w:val="auto"/>
          <w:kern w:val="2"/>
          <w:sz w:val="32"/>
          <w:szCs w:val="32"/>
          <w:highlight w:val="none"/>
          <w:lang w:val="en-US" w:eastAsia="zh-CN" w:bidi="ar-SA"/>
        </w:rPr>
        <w:t>行政运行</w:t>
      </w:r>
      <w:r>
        <w:rPr>
          <w:rFonts w:hint="eastAsia" w:ascii="Times New Roman" w:hAnsi="Times New Roman" w:eastAsia="仿宋_GB2312" w:cs="仿宋_GB2312"/>
          <w:color w:val="auto"/>
          <w:kern w:val="2"/>
          <w:sz w:val="32"/>
          <w:szCs w:val="32"/>
          <w:highlight w:val="none"/>
          <w:lang w:val="en-US" w:eastAsia="zh-CN" w:bidi="ar-SA"/>
        </w:rPr>
        <w:t>（款）</w:t>
      </w:r>
      <w:r>
        <w:rPr>
          <w:rFonts w:hint="eastAsia" w:eastAsia="仿宋_GB2312" w:cs="仿宋_GB2312"/>
          <w:color w:val="auto"/>
          <w:kern w:val="2"/>
          <w:sz w:val="32"/>
          <w:szCs w:val="32"/>
          <w:highlight w:val="none"/>
          <w:lang w:val="en-US" w:eastAsia="zh-CN" w:bidi="ar-SA"/>
        </w:rPr>
        <w:t>公务员年终考核奖</w:t>
      </w:r>
      <w:r>
        <w:rPr>
          <w:rFonts w:hint="eastAsia" w:ascii="Times New Roman" w:hAnsi="Times New Roman" w:eastAsia="仿宋_GB2312" w:cs="仿宋_GB2312"/>
          <w:color w:val="auto"/>
          <w:kern w:val="2"/>
          <w:sz w:val="32"/>
          <w:szCs w:val="32"/>
          <w:highlight w:val="none"/>
          <w:lang w:val="en-US" w:eastAsia="zh-CN" w:bidi="ar-SA"/>
        </w:rPr>
        <w:t>（项）</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支出决算为</w:t>
      </w:r>
      <w:r>
        <w:rPr>
          <w:rFonts w:hint="eastAsia" w:eastAsia="仿宋_GB2312" w:cs="仿宋_GB2312"/>
          <w:color w:val="auto"/>
          <w:kern w:val="2"/>
          <w:sz w:val="32"/>
          <w:szCs w:val="32"/>
          <w:highlight w:val="none"/>
          <w:lang w:val="en-US" w:eastAsia="zh-CN" w:bidi="ar-SA"/>
        </w:rPr>
        <w:t>7.33</w:t>
      </w:r>
      <w:r>
        <w:rPr>
          <w:rFonts w:hint="eastAsia" w:ascii="Times New Roman" w:hAnsi="Times New Roman" w:eastAsia="仿宋_GB2312" w:cs="仿宋_GB2312"/>
          <w:color w:val="auto"/>
          <w:kern w:val="2"/>
          <w:sz w:val="32"/>
          <w:szCs w:val="32"/>
          <w:highlight w:val="none"/>
          <w:lang w:val="en-US" w:eastAsia="zh-CN" w:bidi="ar-SA"/>
        </w:rPr>
        <w:t>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%，决算数等于预算数</w:t>
      </w:r>
      <w:r>
        <w:rPr>
          <w:rFonts w:hint="eastAsia" w:eastAsia="仿宋_GB2312" w:cs="仿宋_GB2312"/>
          <w:color w:val="auto"/>
          <w:kern w:val="2"/>
          <w:sz w:val="32"/>
          <w:szCs w:val="32"/>
          <w:highlight w:val="none"/>
          <w:lang w:val="en-US" w:eastAsia="zh-CN" w:bidi="ar-SA"/>
        </w:rPr>
        <w:t>。</w:t>
      </w:r>
    </w:p>
    <w:p w14:paraId="6CF1CAE3">
      <w:pPr>
        <w:spacing w:line="600" w:lineRule="exact"/>
        <w:ind w:firstLine="640" w:firstLineChars="200"/>
        <w:rPr>
          <w:rFonts w:hint="eastAsia"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16.粮油和物质储备</w:t>
      </w:r>
      <w:r>
        <w:rPr>
          <w:rFonts w:hint="eastAsia" w:eastAsia="仿宋_GB2312" w:cs="仿宋_GB2312"/>
          <w:color w:val="auto"/>
          <w:kern w:val="2"/>
          <w:sz w:val="32"/>
          <w:szCs w:val="32"/>
          <w:highlight w:val="none"/>
          <w:lang w:val="en-US" w:eastAsia="zh-CN" w:bidi="ar-SA"/>
        </w:rPr>
        <w:t>支出</w:t>
      </w:r>
      <w:r>
        <w:rPr>
          <w:rFonts w:hint="eastAsia" w:ascii="Times New Roman" w:hAnsi="Times New Roman" w:eastAsia="仿宋_GB2312" w:cs="仿宋_GB2312"/>
          <w:color w:val="auto"/>
          <w:kern w:val="2"/>
          <w:sz w:val="32"/>
          <w:szCs w:val="32"/>
          <w:highlight w:val="none"/>
          <w:lang w:val="en-US" w:eastAsia="zh-CN" w:bidi="ar-SA"/>
        </w:rPr>
        <w:t>（类）</w:t>
      </w:r>
      <w:r>
        <w:rPr>
          <w:rFonts w:hint="eastAsia" w:eastAsia="仿宋_GB2312" w:cs="仿宋_GB2312"/>
          <w:color w:val="auto"/>
          <w:kern w:val="2"/>
          <w:sz w:val="32"/>
          <w:szCs w:val="32"/>
          <w:highlight w:val="none"/>
          <w:lang w:val="en-US" w:eastAsia="zh-CN" w:bidi="ar-SA"/>
        </w:rPr>
        <w:t>行政运行</w:t>
      </w:r>
      <w:r>
        <w:rPr>
          <w:rFonts w:hint="eastAsia" w:ascii="Times New Roman" w:hAnsi="Times New Roman" w:eastAsia="仿宋_GB2312" w:cs="仿宋_GB2312"/>
          <w:color w:val="auto"/>
          <w:kern w:val="2"/>
          <w:sz w:val="32"/>
          <w:szCs w:val="32"/>
          <w:highlight w:val="none"/>
          <w:lang w:val="en-US" w:eastAsia="zh-CN" w:bidi="ar-SA"/>
        </w:rPr>
        <w:t>（款）</w:t>
      </w:r>
      <w:r>
        <w:rPr>
          <w:rFonts w:hint="eastAsia" w:eastAsia="仿宋_GB2312" w:cs="仿宋_GB2312"/>
          <w:color w:val="auto"/>
          <w:kern w:val="2"/>
          <w:sz w:val="32"/>
          <w:szCs w:val="32"/>
          <w:highlight w:val="none"/>
          <w:lang w:val="en-US" w:eastAsia="zh-CN" w:bidi="ar-SA"/>
        </w:rPr>
        <w:t>独子费（行政）</w:t>
      </w:r>
      <w:r>
        <w:rPr>
          <w:rFonts w:hint="eastAsia" w:ascii="Times New Roman" w:hAnsi="Times New Roman" w:eastAsia="仿宋_GB2312" w:cs="仿宋_GB2312"/>
          <w:color w:val="auto"/>
          <w:kern w:val="2"/>
          <w:sz w:val="32"/>
          <w:szCs w:val="32"/>
          <w:highlight w:val="none"/>
          <w:lang w:val="en-US" w:eastAsia="zh-CN" w:bidi="ar-SA"/>
        </w:rPr>
        <w:t>（项）</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支出决算为</w:t>
      </w:r>
      <w:r>
        <w:rPr>
          <w:rFonts w:hint="eastAsia" w:eastAsia="仿宋_GB2312" w:cs="仿宋_GB2312"/>
          <w:color w:val="auto"/>
          <w:kern w:val="2"/>
          <w:sz w:val="32"/>
          <w:szCs w:val="32"/>
          <w:highlight w:val="none"/>
          <w:lang w:val="en-US" w:eastAsia="zh-CN" w:bidi="ar-SA"/>
        </w:rPr>
        <w:t>0.01</w:t>
      </w:r>
      <w:r>
        <w:rPr>
          <w:rFonts w:hint="eastAsia" w:ascii="Times New Roman" w:hAnsi="Times New Roman" w:eastAsia="仿宋_GB2312" w:cs="仿宋_GB2312"/>
          <w:color w:val="auto"/>
          <w:kern w:val="2"/>
          <w:sz w:val="32"/>
          <w:szCs w:val="32"/>
          <w:highlight w:val="none"/>
          <w:lang w:val="en-US" w:eastAsia="zh-CN" w:bidi="ar-SA"/>
        </w:rPr>
        <w:t>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%，决算数等于预算数</w:t>
      </w:r>
      <w:r>
        <w:rPr>
          <w:rFonts w:hint="eastAsia" w:eastAsia="仿宋_GB2312" w:cs="仿宋_GB2312"/>
          <w:color w:val="auto"/>
          <w:kern w:val="2"/>
          <w:sz w:val="32"/>
          <w:szCs w:val="32"/>
          <w:highlight w:val="none"/>
          <w:lang w:val="en-US" w:eastAsia="zh-CN" w:bidi="ar-SA"/>
        </w:rPr>
        <w:t>。</w:t>
      </w:r>
    </w:p>
    <w:p w14:paraId="5907ADE4">
      <w:pPr>
        <w:tabs>
          <w:tab w:val="right" w:pos="8306"/>
        </w:tabs>
        <w:spacing w:line="600" w:lineRule="exact"/>
        <w:ind w:firstLine="640"/>
        <w:outlineLvl w:val="1"/>
        <w:rPr>
          <w:rStyle w:val="31"/>
          <w:rFonts w:ascii="Times New Roman" w:hAnsi="Times New Roman"/>
          <w:color w:val="auto"/>
          <w:highlight w:val="none"/>
        </w:rPr>
      </w:pPr>
      <w:bookmarkStart w:id="34" w:name="_Toc15377214"/>
      <w:bookmarkStart w:id="35" w:name="_Toc15396608"/>
      <w:r>
        <w:rPr>
          <w:rFonts w:hint="eastAsia" w:ascii="Times New Roman" w:hAnsi="Times New Roman" w:eastAsia="黑体"/>
          <w:color w:val="auto"/>
          <w:sz w:val="32"/>
          <w:szCs w:val="32"/>
          <w:highlight w:val="none"/>
        </w:rPr>
        <w:t>六</w:t>
      </w:r>
      <w:r>
        <w:rPr>
          <w:rFonts w:hint="eastAsia" w:ascii="Times New Roman" w:hAnsi="Times New Roman" w:eastAsia="黑体"/>
          <w:b/>
          <w:color w:val="auto"/>
          <w:sz w:val="32"/>
          <w:szCs w:val="32"/>
          <w:highlight w:val="none"/>
        </w:rPr>
        <w:t>、一</w:t>
      </w:r>
      <w:r>
        <w:rPr>
          <w:rStyle w:val="31"/>
          <w:rFonts w:hint="eastAsia" w:ascii="Times New Roman" w:hAnsi="Times New Roman" w:eastAsia="黑体"/>
          <w:b w:val="0"/>
          <w:color w:val="auto"/>
          <w:highlight w:val="none"/>
        </w:rPr>
        <w:t>般公共预算财政拨款基本支出决算情况说明</w:t>
      </w:r>
      <w:bookmarkEnd w:id="34"/>
      <w:bookmarkEnd w:id="35"/>
      <w:r>
        <w:rPr>
          <w:rStyle w:val="31"/>
          <w:rFonts w:ascii="Times New Roman" w:hAnsi="Times New Roman" w:eastAsia="黑体"/>
          <w:b w:val="0"/>
          <w:color w:val="auto"/>
          <w:highlight w:val="none"/>
        </w:rPr>
        <w:tab/>
      </w:r>
    </w:p>
    <w:p w14:paraId="75F7F437">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2024年度一般公共预算财政拨款基本支出</w:t>
      </w:r>
      <w:r>
        <w:rPr>
          <w:rFonts w:hint="eastAsia" w:ascii="仿宋_GB2312" w:hAnsi="仿宋_GB2312" w:eastAsia="仿宋_GB2312" w:cs="仿宋_GB2312"/>
          <w:color w:val="auto"/>
          <w:sz w:val="32"/>
          <w:szCs w:val="32"/>
        </w:rPr>
        <w:t>148.05</w:t>
      </w:r>
      <w:r>
        <w:rPr>
          <w:rFonts w:hint="eastAsia" w:ascii="仿宋_GB2312" w:hAnsi="仿宋_GB2312" w:eastAsia="仿宋_GB2312" w:cs="仿宋_GB2312"/>
          <w:color w:val="auto"/>
          <w:kern w:val="2"/>
          <w:sz w:val="32"/>
          <w:szCs w:val="32"/>
          <w:highlight w:val="none"/>
          <w:lang w:val="en-US" w:eastAsia="zh-CN" w:bidi="ar-SA"/>
        </w:rPr>
        <w:t>万</w:t>
      </w:r>
      <w:r>
        <w:rPr>
          <w:rFonts w:hint="eastAsia" w:ascii="Times New Roman" w:hAnsi="Times New Roman" w:eastAsia="仿宋_GB2312" w:cs="仿宋_GB2312"/>
          <w:color w:val="auto"/>
          <w:kern w:val="2"/>
          <w:sz w:val="32"/>
          <w:szCs w:val="32"/>
          <w:highlight w:val="none"/>
          <w:lang w:val="en-US" w:eastAsia="zh-CN" w:bidi="ar-SA"/>
        </w:rPr>
        <w:t>元，其中：</w:t>
      </w:r>
    </w:p>
    <w:p w14:paraId="30EAB0AF">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人员经费</w:t>
      </w:r>
      <w:r>
        <w:rPr>
          <w:rFonts w:hint="eastAsia" w:ascii="仿宋_GB2312" w:hAnsi="仿宋_GB2312" w:eastAsia="仿宋_GB2312" w:cs="仿宋_GB2312"/>
          <w:color w:val="auto"/>
          <w:sz w:val="32"/>
          <w:szCs w:val="32"/>
        </w:rPr>
        <w:t>131.79</w:t>
      </w:r>
      <w:r>
        <w:rPr>
          <w:rFonts w:hint="eastAsia" w:ascii="仿宋_GB2312" w:hAnsi="仿宋_GB2312" w:eastAsia="仿宋_GB2312" w:cs="仿宋_GB2312"/>
          <w:color w:val="auto"/>
          <w:kern w:val="2"/>
          <w:sz w:val="32"/>
          <w:szCs w:val="32"/>
          <w:highlight w:val="none"/>
          <w:lang w:val="en-US" w:eastAsia="zh-CN" w:bidi="ar-SA"/>
        </w:rPr>
        <w:t>万</w:t>
      </w:r>
      <w:r>
        <w:rPr>
          <w:rFonts w:hint="eastAsia" w:ascii="Times New Roman" w:hAnsi="Times New Roman" w:eastAsia="仿宋_GB2312" w:cs="仿宋_GB2312"/>
          <w:color w:val="auto"/>
          <w:kern w:val="2"/>
          <w:sz w:val="32"/>
          <w:szCs w:val="32"/>
          <w:highlight w:val="none"/>
          <w:lang w:val="en-US" w:eastAsia="zh-CN" w:bidi="ar-SA"/>
        </w:rPr>
        <w:t>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公用经费</w:t>
      </w:r>
      <w:r>
        <w:rPr>
          <w:rFonts w:hint="eastAsia" w:ascii="仿宋_GB2312" w:hAnsi="仿宋_GB2312" w:eastAsia="仿宋_GB2312" w:cs="仿宋_GB2312"/>
          <w:color w:val="auto"/>
          <w:sz w:val="32"/>
          <w:szCs w:val="32"/>
        </w:rPr>
        <w:t>16.26</w:t>
      </w:r>
      <w:r>
        <w:rPr>
          <w:rFonts w:hint="eastAsia" w:ascii="仿宋_GB2312" w:hAnsi="仿宋_GB2312" w:eastAsia="仿宋_GB2312" w:cs="仿宋_GB2312"/>
          <w:color w:val="auto"/>
          <w:kern w:val="2"/>
          <w:sz w:val="32"/>
          <w:szCs w:val="32"/>
          <w:highlight w:val="none"/>
          <w:lang w:val="en-US" w:eastAsia="zh-CN" w:bidi="ar-SA"/>
        </w:rPr>
        <w:t>万</w:t>
      </w:r>
      <w:r>
        <w:rPr>
          <w:rFonts w:hint="eastAsia" w:ascii="Times New Roman" w:hAnsi="Times New Roman" w:eastAsia="仿宋_GB2312" w:cs="仿宋_GB2312"/>
          <w:color w:val="auto"/>
          <w:kern w:val="2"/>
          <w:sz w:val="32"/>
          <w:szCs w:val="32"/>
          <w:highlight w:val="none"/>
          <w:lang w:val="en-US" w:eastAsia="zh-CN" w:bidi="ar-SA"/>
        </w:rPr>
        <w:t>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14:paraId="75CFDECF">
      <w:pPr>
        <w:spacing w:line="600" w:lineRule="exact"/>
        <w:ind w:firstLine="640"/>
        <w:outlineLvl w:val="1"/>
        <w:rPr>
          <w:rStyle w:val="31"/>
          <w:rFonts w:ascii="Times New Roman" w:hAnsi="Times New Roman" w:eastAsia="黑体"/>
          <w:b w:val="0"/>
          <w:color w:val="auto"/>
          <w:highlight w:val="none"/>
        </w:rPr>
      </w:pPr>
      <w:bookmarkStart w:id="36" w:name="_Toc15377215"/>
      <w:bookmarkStart w:id="37" w:name="_Toc15396609"/>
      <w:r>
        <w:rPr>
          <w:rFonts w:hint="eastAsia" w:ascii="Times New Roman" w:hAnsi="Times New Roman" w:eastAsia="黑体"/>
          <w:color w:val="auto"/>
          <w:sz w:val="32"/>
          <w:szCs w:val="32"/>
          <w:highlight w:val="none"/>
        </w:rPr>
        <w:t>七、</w:t>
      </w:r>
      <w:r>
        <w:rPr>
          <w:rStyle w:val="31"/>
          <w:rFonts w:hint="eastAsia" w:ascii="Times New Roman" w:hAnsi="Times New Roman" w:eastAsia="黑体"/>
          <w:b w:val="0"/>
          <w:color w:val="auto"/>
          <w:highlight w:val="none"/>
        </w:rPr>
        <w:t>财政拨款</w:t>
      </w:r>
      <w:r>
        <w:rPr>
          <w:rStyle w:val="31"/>
          <w:rFonts w:hint="eastAsia" w:ascii="Times New Roman" w:hAnsi="Times New Roman" w:eastAsia="黑体"/>
          <w:color w:val="auto"/>
          <w:highlight w:val="none"/>
        </w:rPr>
        <w:t>“</w:t>
      </w:r>
      <w:r>
        <w:rPr>
          <w:rStyle w:val="31"/>
          <w:rFonts w:hint="eastAsia" w:ascii="Times New Roman" w:hAnsi="Times New Roman" w:eastAsia="黑体"/>
          <w:b w:val="0"/>
          <w:color w:val="auto"/>
          <w:highlight w:val="none"/>
        </w:rPr>
        <w:t>三公”经费支出决算情况说明</w:t>
      </w:r>
      <w:bookmarkEnd w:id="36"/>
      <w:bookmarkEnd w:id="37"/>
    </w:p>
    <w:p w14:paraId="60A968AB">
      <w:pPr>
        <w:spacing w:line="600" w:lineRule="exact"/>
        <w:ind w:firstLine="321" w:firstLineChars="100"/>
        <w:outlineLvl w:val="2"/>
        <w:rPr>
          <w:rFonts w:hint="eastAsia" w:ascii="Times New Roman" w:hAnsi="Times New Roman" w:eastAsia="楷体_GB2312" w:cs="楷体_GB2312"/>
          <w:b/>
          <w:color w:val="auto"/>
          <w:sz w:val="32"/>
          <w:szCs w:val="32"/>
          <w:highlight w:val="none"/>
        </w:rPr>
      </w:pPr>
      <w:bookmarkStart w:id="38" w:name="_Toc15377216"/>
      <w:r>
        <w:rPr>
          <w:rFonts w:hint="eastAsia" w:ascii="Times New Roman" w:hAnsi="Times New Roman" w:eastAsia="楷体_GB2312" w:cs="楷体_GB2312"/>
          <w:b/>
          <w:color w:val="auto"/>
          <w:sz w:val="32"/>
          <w:szCs w:val="32"/>
          <w:highlight w:val="none"/>
        </w:rPr>
        <w:t>（一）“三公”经费财政拨款支出决算总体情况说明</w:t>
      </w:r>
      <w:bookmarkEnd w:id="38"/>
    </w:p>
    <w:p w14:paraId="63AB7ECE">
      <w:pPr>
        <w:spacing w:line="600" w:lineRule="exact"/>
        <w:ind w:firstLine="640"/>
        <w:rPr>
          <w:rFonts w:hint="eastAsia"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2024年度“三公”经费财政拨款支出决算为</w:t>
      </w:r>
      <w:r>
        <w:rPr>
          <w:rFonts w:hint="eastAsia" w:ascii="仿宋_GB2312" w:hAnsi="仿宋_GB2312" w:eastAsia="仿宋_GB2312" w:cs="仿宋_GB2312"/>
          <w:color w:val="auto"/>
          <w:sz w:val="32"/>
          <w:szCs w:val="32"/>
        </w:rPr>
        <w:t>0.41</w:t>
      </w:r>
      <w:r>
        <w:rPr>
          <w:rFonts w:hint="eastAsia" w:ascii="仿宋_GB2312" w:hAnsi="仿宋_GB2312" w:eastAsia="仿宋_GB2312" w:cs="仿宋_GB2312"/>
          <w:color w:val="auto"/>
          <w:kern w:val="2"/>
          <w:sz w:val="32"/>
          <w:szCs w:val="32"/>
          <w:highlight w:val="none"/>
          <w:lang w:val="en-US" w:eastAsia="zh-CN" w:bidi="ar-SA"/>
        </w:rPr>
        <w:t>万元，完成预算</w:t>
      </w:r>
      <w:r>
        <w:rPr>
          <w:rFonts w:hint="eastAsia" w:ascii="仿宋_GB2312" w:hAnsi="仿宋_GB2312" w:eastAsia="仿宋_GB2312" w:cs="仿宋_GB2312"/>
          <w:color w:val="auto"/>
          <w:sz w:val="32"/>
          <w:szCs w:val="32"/>
        </w:rPr>
        <w:t>100</w:t>
      </w:r>
      <w:r>
        <w:rPr>
          <w:rFonts w:hint="eastAsia" w:ascii="仿宋_GB2312" w:hAnsi="仿宋_GB2312"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较上年度增加</w:t>
      </w:r>
      <w:r>
        <w:rPr>
          <w:rFonts w:hint="eastAsia" w:eastAsia="仿宋_GB2312" w:cs="仿宋_GB2312"/>
          <w:color w:val="auto"/>
          <w:kern w:val="2"/>
          <w:sz w:val="32"/>
          <w:szCs w:val="32"/>
          <w:highlight w:val="none"/>
          <w:lang w:val="en-US" w:eastAsia="zh-CN" w:bidi="ar-SA"/>
        </w:rPr>
        <w:t>0.15</w:t>
      </w:r>
      <w:r>
        <w:rPr>
          <w:rFonts w:hint="eastAsia" w:ascii="Times New Roman" w:hAnsi="Times New Roman" w:eastAsia="仿宋_GB2312" w:cs="仿宋_GB2312"/>
          <w:color w:val="auto"/>
          <w:kern w:val="2"/>
          <w:sz w:val="32"/>
          <w:szCs w:val="32"/>
          <w:highlight w:val="none"/>
          <w:lang w:val="en-US" w:eastAsia="zh-CN" w:bidi="ar-SA"/>
        </w:rPr>
        <w:t>万元，增长</w:t>
      </w:r>
      <w:r>
        <w:rPr>
          <w:rFonts w:hint="eastAsia" w:eastAsia="仿宋_GB2312" w:cs="仿宋_GB2312"/>
          <w:color w:val="auto"/>
          <w:kern w:val="2"/>
          <w:sz w:val="32"/>
          <w:szCs w:val="32"/>
          <w:highlight w:val="none"/>
          <w:lang w:val="en-US" w:eastAsia="zh-CN" w:bidi="ar-SA"/>
        </w:rPr>
        <w:t>57.69</w:t>
      </w:r>
      <w:r>
        <w:rPr>
          <w:rFonts w:hint="eastAsia" w:ascii="Times New Roman" w:hAnsi="Times New Roman" w:eastAsia="仿宋_GB2312" w:cs="仿宋_GB2312"/>
          <w:color w:val="auto"/>
          <w:kern w:val="2"/>
          <w:sz w:val="32"/>
          <w:szCs w:val="32"/>
          <w:highlight w:val="none"/>
          <w:lang w:val="en-US" w:eastAsia="zh-CN" w:bidi="ar-SA"/>
        </w:rPr>
        <w:t>%。决算数</w:t>
      </w:r>
      <w:r>
        <w:rPr>
          <w:rFonts w:hint="eastAsia" w:eastAsia="仿宋_GB2312" w:cs="仿宋_GB2312"/>
          <w:color w:val="auto"/>
          <w:kern w:val="2"/>
          <w:sz w:val="32"/>
          <w:szCs w:val="32"/>
          <w:highlight w:val="none"/>
          <w:lang w:val="en-US" w:eastAsia="zh-CN" w:bidi="ar-SA"/>
        </w:rPr>
        <w:t>等于</w:t>
      </w:r>
      <w:r>
        <w:rPr>
          <w:rFonts w:hint="eastAsia" w:ascii="Times New Roman" w:hAnsi="Times New Roman" w:eastAsia="仿宋_GB2312" w:cs="仿宋_GB2312"/>
          <w:color w:val="auto"/>
          <w:kern w:val="2"/>
          <w:sz w:val="32"/>
          <w:szCs w:val="32"/>
          <w:highlight w:val="none"/>
          <w:lang w:val="en-US" w:eastAsia="zh-CN" w:bidi="ar-SA"/>
        </w:rPr>
        <w:t>预算数</w:t>
      </w:r>
      <w:r>
        <w:rPr>
          <w:rFonts w:hint="eastAsia" w:eastAsia="仿宋_GB2312" w:cs="仿宋_GB2312"/>
          <w:color w:val="auto"/>
          <w:kern w:val="2"/>
          <w:sz w:val="32"/>
          <w:szCs w:val="32"/>
          <w:highlight w:val="none"/>
          <w:lang w:val="en-US" w:eastAsia="zh-CN" w:bidi="ar-SA"/>
        </w:rPr>
        <w:t>。</w:t>
      </w:r>
    </w:p>
    <w:p w14:paraId="10CD4726">
      <w:pPr>
        <w:spacing w:line="600" w:lineRule="exact"/>
        <w:ind w:firstLine="321" w:firstLineChars="100"/>
        <w:outlineLvl w:val="2"/>
        <w:rPr>
          <w:rFonts w:hint="eastAsia" w:ascii="Times New Roman" w:hAnsi="Times New Roman" w:eastAsia="楷体_GB2312" w:cs="楷体_GB2312"/>
          <w:b/>
          <w:color w:val="auto"/>
          <w:sz w:val="32"/>
          <w:szCs w:val="32"/>
          <w:highlight w:val="none"/>
        </w:rPr>
      </w:pPr>
      <w:bookmarkStart w:id="39" w:name="_Toc15377217"/>
      <w:r>
        <w:rPr>
          <w:rFonts w:hint="eastAsia" w:ascii="Times New Roman" w:hAnsi="Times New Roman" w:eastAsia="楷体_GB2312" w:cs="楷体_GB2312"/>
          <w:b/>
          <w:color w:val="auto"/>
          <w:sz w:val="32"/>
          <w:szCs w:val="32"/>
          <w:highlight w:val="none"/>
        </w:rPr>
        <w:t>（二）“三公”经费财政拨款支出决算具体情况说明</w:t>
      </w:r>
      <w:bookmarkEnd w:id="39"/>
    </w:p>
    <w:p w14:paraId="2E082CE3">
      <w:pPr>
        <w:spacing w:line="600" w:lineRule="exact"/>
        <w:ind w:firstLine="640"/>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2024年度“三公”经费财政拨款支出决算中，因公出国（境）费支出决算</w:t>
      </w:r>
      <w:r>
        <w:rPr>
          <w:rFonts w:hint="eastAsia" w:ascii="仿宋_GB2312" w:hAnsi="仿宋_GB2312" w:eastAsia="仿宋_GB2312" w:cs="仿宋_GB2312"/>
          <w:color w:val="auto"/>
          <w:sz w:val="32"/>
          <w:szCs w:val="32"/>
        </w:rPr>
        <w:t>0</w:t>
      </w:r>
      <w:r>
        <w:rPr>
          <w:rFonts w:hint="eastAsia" w:ascii="仿宋_GB2312" w:hAnsi="仿宋_GB2312" w:eastAsia="仿宋_GB2312" w:cs="仿宋_GB2312"/>
          <w:color w:val="auto"/>
          <w:kern w:val="2"/>
          <w:sz w:val="32"/>
          <w:szCs w:val="32"/>
          <w:highlight w:val="none"/>
          <w:lang w:val="en-US" w:eastAsia="zh-CN" w:bidi="ar-SA"/>
        </w:rPr>
        <w:t>万元，占0%；公务用车购置及运行维护费支出决算</w:t>
      </w:r>
      <w:r>
        <w:rPr>
          <w:rFonts w:hint="eastAsia" w:ascii="仿宋_GB2312" w:hAnsi="仿宋_GB2312" w:eastAsia="仿宋_GB2312" w:cs="仿宋_GB2312"/>
          <w:color w:val="auto"/>
          <w:sz w:val="32"/>
          <w:szCs w:val="32"/>
        </w:rPr>
        <w:t>0</w:t>
      </w:r>
      <w:r>
        <w:rPr>
          <w:rFonts w:hint="eastAsia" w:ascii="仿宋_GB2312" w:hAnsi="仿宋_GB2312" w:eastAsia="仿宋_GB2312" w:cs="仿宋_GB2312"/>
          <w:color w:val="auto"/>
          <w:kern w:val="2"/>
          <w:sz w:val="32"/>
          <w:szCs w:val="32"/>
          <w:highlight w:val="none"/>
          <w:lang w:val="en-US" w:eastAsia="zh-CN" w:bidi="ar-SA"/>
        </w:rPr>
        <w:t>万元，占0%；公务接待费支出决算</w:t>
      </w:r>
      <w:r>
        <w:rPr>
          <w:rFonts w:hint="eastAsia" w:ascii="仿宋_GB2312" w:hAnsi="仿宋_GB2312" w:eastAsia="仿宋_GB2312" w:cs="仿宋_GB2312"/>
          <w:color w:val="auto"/>
          <w:sz w:val="32"/>
          <w:szCs w:val="32"/>
        </w:rPr>
        <w:t>0.41</w:t>
      </w:r>
      <w:r>
        <w:rPr>
          <w:rFonts w:hint="eastAsia" w:ascii="仿宋_GB2312" w:hAnsi="仿宋_GB2312" w:eastAsia="仿宋_GB2312" w:cs="仿宋_GB2312"/>
          <w:color w:val="auto"/>
          <w:kern w:val="2"/>
          <w:sz w:val="32"/>
          <w:szCs w:val="32"/>
          <w:highlight w:val="none"/>
          <w:lang w:val="en-US" w:eastAsia="zh-CN" w:bidi="ar-SA"/>
        </w:rPr>
        <w:t>万元，占100%。具体情况如下：</w:t>
      </w:r>
    </w:p>
    <w:p w14:paraId="5D5C5DF0">
      <w:pPr>
        <w:rPr>
          <w:rFonts w:hint="eastAsia" w:ascii="仿宋_GB2312" w:hAnsi="仿宋_GB2312" w:eastAsia="仿宋_GB2312" w:cs="仿宋_GB2312"/>
          <w:color w:val="auto"/>
          <w:kern w:val="2"/>
          <w:sz w:val="32"/>
          <w:szCs w:val="32"/>
          <w:highlight w:val="none"/>
          <w:lang w:val="en-US" w:eastAsia="zh-CN" w:bidi="ar-SA"/>
        </w:rPr>
      </w:pPr>
    </w:p>
    <w:p w14:paraId="14F44893">
      <w:pPr>
        <w:pStyle w:val="16"/>
        <w:rPr>
          <w:rFonts w:hint="eastAsia"/>
          <w:color w:val="auto"/>
          <w:lang w:val="en-US" w:eastAsia="zh-CN"/>
        </w:rPr>
      </w:pPr>
      <w:r>
        <w:rPr>
          <w:color w:val="auto"/>
        </w:rPr>
        <w:drawing>
          <wp:inline distT="0" distB="0" distL="114300" distR="114300">
            <wp:extent cx="4826000" cy="2743200"/>
            <wp:effectExtent l="4445" t="4445" r="8255" b="14605"/>
            <wp:docPr id="28" name="图表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5F5BBE26">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p>
    <w:p w14:paraId="5AA56C8B">
      <w:pPr>
        <w:numPr>
          <w:ilvl w:val="0"/>
          <w:numId w:val="0"/>
        </w:numPr>
        <w:spacing w:line="600" w:lineRule="exact"/>
        <w:ind w:firstLine="643" w:firstLineChars="200"/>
        <w:rPr>
          <w:rFonts w:hint="eastAsia" w:ascii="Times New Roman" w:hAnsi="Times New Roman" w:eastAsia="仿宋_GB2312" w:cs="仿宋_GB2312"/>
          <w:color w:val="auto"/>
          <w:kern w:val="2"/>
          <w:sz w:val="32"/>
          <w:szCs w:val="32"/>
          <w:highlight w:val="none"/>
          <w:lang w:val="en-US" w:eastAsia="zh-CN" w:bidi="ar-SA"/>
        </w:rPr>
      </w:pPr>
      <w:r>
        <w:rPr>
          <w:rFonts w:hint="eastAsia" w:eastAsia="仿宋_GB2312" w:cs="仿宋_GB2312"/>
          <w:b/>
          <w:bCs/>
          <w:color w:val="auto"/>
          <w:kern w:val="2"/>
          <w:sz w:val="32"/>
          <w:szCs w:val="32"/>
          <w:highlight w:val="none"/>
          <w:lang w:val="en-US" w:eastAsia="zh-CN" w:bidi="ar-SA"/>
        </w:rPr>
        <w:t>1.</w:t>
      </w:r>
      <w:r>
        <w:rPr>
          <w:rFonts w:hint="eastAsia" w:ascii="Times New Roman" w:hAnsi="Times New Roman" w:eastAsia="仿宋_GB2312" w:cs="仿宋_GB2312"/>
          <w:b/>
          <w:bCs/>
          <w:color w:val="auto"/>
          <w:kern w:val="2"/>
          <w:sz w:val="32"/>
          <w:szCs w:val="32"/>
          <w:highlight w:val="none"/>
          <w:lang w:val="en-US" w:eastAsia="zh-CN" w:bidi="ar-SA"/>
        </w:rPr>
        <w:t>因公出国（境）经费支出</w:t>
      </w:r>
      <w:r>
        <w:rPr>
          <w:rFonts w:hint="eastAsia" w:eastAsia="仿宋_GB2312" w:cs="仿宋_GB2312"/>
          <w:b/>
          <w:bCs/>
          <w:color w:val="auto"/>
          <w:kern w:val="2"/>
          <w:sz w:val="32"/>
          <w:szCs w:val="32"/>
          <w:highlight w:val="none"/>
          <w:lang w:val="en-US" w:eastAsia="zh-CN" w:bidi="ar-SA"/>
        </w:rPr>
        <w:t>0</w:t>
      </w:r>
      <w:r>
        <w:rPr>
          <w:rFonts w:hint="eastAsia" w:ascii="Times New Roman" w:hAnsi="Times New Roman" w:eastAsia="仿宋_GB2312" w:cs="仿宋_GB2312"/>
          <w:b/>
          <w:bCs/>
          <w:color w:val="auto"/>
          <w:kern w:val="2"/>
          <w:sz w:val="32"/>
          <w:szCs w:val="32"/>
          <w:highlight w:val="none"/>
          <w:lang w:val="en-US" w:eastAsia="zh-CN" w:bidi="ar-SA"/>
        </w:rPr>
        <w:t>万元，完成预算</w:t>
      </w:r>
      <w:r>
        <w:rPr>
          <w:rFonts w:hint="eastAsia" w:eastAsia="仿宋_GB2312" w:cs="仿宋_GB2312"/>
          <w:b/>
          <w:bCs/>
          <w:color w:val="auto"/>
          <w:kern w:val="2"/>
          <w:sz w:val="32"/>
          <w:szCs w:val="32"/>
          <w:highlight w:val="none"/>
          <w:lang w:val="en-US" w:eastAsia="zh-CN" w:bidi="ar-SA"/>
        </w:rPr>
        <w:t>0</w:t>
      </w:r>
      <w:r>
        <w:rPr>
          <w:rFonts w:hint="eastAsia" w:ascii="Times New Roman" w:hAnsi="Times New Roman" w:eastAsia="仿宋_GB2312" w:cs="仿宋_GB2312"/>
          <w:b/>
          <w:bCs/>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全年安排因公出国（境）团</w:t>
      </w:r>
      <w:r>
        <w:rPr>
          <w:rFonts w:hint="eastAsia" w:ascii="仿宋_GB2312" w:hAnsi="仿宋_GB2312" w:eastAsia="仿宋_GB2312" w:cs="仿宋_GB2312"/>
          <w:color w:val="auto"/>
          <w:kern w:val="2"/>
          <w:sz w:val="32"/>
          <w:szCs w:val="32"/>
          <w:highlight w:val="none"/>
          <w:lang w:val="en-US" w:eastAsia="zh-CN" w:bidi="ar-SA"/>
        </w:rPr>
        <w:t>组</w:t>
      </w:r>
      <w:r>
        <w:rPr>
          <w:rFonts w:hint="eastAsia" w:ascii="仿宋_GB2312" w:hAnsi="仿宋_GB2312" w:eastAsia="仿宋_GB2312" w:cs="仿宋_GB2312"/>
          <w:color w:val="auto"/>
          <w:sz w:val="32"/>
          <w:szCs w:val="32"/>
        </w:rPr>
        <w:t>0</w:t>
      </w:r>
      <w:r>
        <w:rPr>
          <w:rFonts w:hint="eastAsia" w:ascii="Times New Roman" w:hAnsi="Times New Roman" w:eastAsia="仿宋_GB2312" w:cs="仿宋_GB2312"/>
          <w:color w:val="auto"/>
          <w:kern w:val="2"/>
          <w:sz w:val="32"/>
          <w:szCs w:val="32"/>
          <w:highlight w:val="none"/>
          <w:lang w:val="en-US" w:eastAsia="zh-CN" w:bidi="ar-SA"/>
        </w:rPr>
        <w:t>次，出国（境）</w:t>
      </w:r>
      <w:r>
        <w:rPr>
          <w:rFonts w:hint="eastAsia" w:ascii="仿宋_GB2312" w:hAnsi="仿宋_GB2312" w:eastAsia="仿宋_GB2312" w:cs="仿宋_GB2312"/>
          <w:color w:val="auto"/>
          <w:sz w:val="32"/>
          <w:szCs w:val="32"/>
        </w:rPr>
        <w:t>0</w:t>
      </w:r>
      <w:r>
        <w:rPr>
          <w:rFonts w:hint="eastAsia" w:ascii="仿宋_GB2312" w:hAnsi="仿宋_GB2312" w:eastAsia="仿宋_GB2312" w:cs="仿宋_GB2312"/>
          <w:color w:val="auto"/>
          <w:kern w:val="2"/>
          <w:sz w:val="32"/>
          <w:szCs w:val="32"/>
          <w:highlight w:val="none"/>
          <w:lang w:val="en-US" w:eastAsia="zh-CN" w:bidi="ar-SA"/>
        </w:rPr>
        <w:t>人</w:t>
      </w:r>
      <w:r>
        <w:rPr>
          <w:rFonts w:hint="eastAsia" w:ascii="Times New Roman" w:hAnsi="Times New Roman" w:eastAsia="仿宋_GB2312" w:cs="仿宋_GB2312"/>
          <w:color w:val="auto"/>
          <w:kern w:val="2"/>
          <w:sz w:val="32"/>
          <w:szCs w:val="32"/>
          <w:highlight w:val="none"/>
          <w:lang w:val="en-US" w:eastAsia="zh-CN" w:bidi="ar-SA"/>
        </w:rPr>
        <w:t>。因公出国（境）支出决算比2023年增加/减少</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万元，增长/下降</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w:t>
      </w:r>
    </w:p>
    <w:p w14:paraId="52425219">
      <w:pPr>
        <w:numPr>
          <w:ilvl w:val="0"/>
          <w:numId w:val="0"/>
        </w:numPr>
        <w:spacing w:line="600" w:lineRule="exact"/>
        <w:rPr>
          <w:rFonts w:hint="eastAsia" w:ascii="Times New Roman" w:hAnsi="Times New Roman" w:eastAsia="仿宋_GB2312" w:cs="仿宋_GB2312"/>
          <w:color w:val="auto"/>
          <w:kern w:val="2"/>
          <w:sz w:val="32"/>
          <w:szCs w:val="32"/>
          <w:highlight w:val="none"/>
          <w:lang w:val="en-US" w:eastAsia="zh-CN" w:bidi="ar-SA"/>
        </w:rPr>
      </w:pPr>
    </w:p>
    <w:p w14:paraId="11CE8C70">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b/>
          <w:bCs/>
          <w:color w:val="auto"/>
          <w:kern w:val="2"/>
          <w:sz w:val="32"/>
          <w:szCs w:val="32"/>
          <w:highlight w:val="none"/>
          <w:lang w:val="en-US" w:eastAsia="zh-CN" w:bidi="ar-SA"/>
        </w:rPr>
        <w:t>2.公务用车购置及运行维护费支出</w:t>
      </w:r>
      <w:r>
        <w:rPr>
          <w:rFonts w:hint="eastAsia" w:ascii="仿宋_GB2312" w:hAnsi="仿宋_GB2312" w:eastAsia="仿宋_GB2312" w:cs="仿宋_GB2312"/>
          <w:b/>
          <w:bCs/>
          <w:color w:val="auto"/>
          <w:kern w:val="2"/>
          <w:sz w:val="32"/>
          <w:szCs w:val="32"/>
          <w:highlight w:val="none"/>
          <w:lang w:val="en-US" w:eastAsia="zh-CN" w:bidi="ar-SA"/>
        </w:rPr>
        <w:t>0万</w:t>
      </w:r>
      <w:r>
        <w:rPr>
          <w:rFonts w:hint="eastAsia" w:ascii="Times New Roman" w:hAnsi="Times New Roman" w:eastAsia="仿宋_GB2312" w:cs="仿宋_GB2312"/>
          <w:b/>
          <w:bCs/>
          <w:color w:val="auto"/>
          <w:kern w:val="2"/>
          <w:sz w:val="32"/>
          <w:szCs w:val="32"/>
          <w:highlight w:val="none"/>
          <w:lang w:val="en-US" w:eastAsia="zh-CN" w:bidi="ar-SA"/>
        </w:rPr>
        <w:t>元</w:t>
      </w:r>
      <w:r>
        <w:rPr>
          <w:rFonts w:hint="eastAsia" w:eastAsia="仿宋_GB2312" w:cs="仿宋_GB2312"/>
          <w:b/>
          <w:bCs/>
          <w:color w:val="auto"/>
          <w:kern w:val="2"/>
          <w:sz w:val="32"/>
          <w:szCs w:val="32"/>
          <w:highlight w:val="none"/>
          <w:lang w:val="en-US" w:eastAsia="zh-CN" w:bidi="ar-SA"/>
        </w:rPr>
        <w:t>，</w:t>
      </w:r>
      <w:r>
        <w:rPr>
          <w:rFonts w:hint="eastAsia" w:ascii="Times New Roman" w:hAnsi="Times New Roman" w:eastAsia="仿宋_GB2312" w:cs="仿宋_GB2312"/>
          <w:b/>
          <w:bCs/>
          <w:color w:val="auto"/>
          <w:kern w:val="2"/>
          <w:sz w:val="32"/>
          <w:szCs w:val="32"/>
          <w:highlight w:val="none"/>
          <w:lang w:val="en-US" w:eastAsia="zh-CN" w:bidi="ar-SA"/>
        </w:rPr>
        <w:t>完成预算</w:t>
      </w:r>
      <w:r>
        <w:rPr>
          <w:rFonts w:hint="eastAsia" w:eastAsia="仿宋_GB2312" w:cs="仿宋_GB2312"/>
          <w:b/>
          <w:bCs/>
          <w:color w:val="auto"/>
          <w:kern w:val="2"/>
          <w:sz w:val="32"/>
          <w:szCs w:val="32"/>
          <w:highlight w:val="none"/>
          <w:lang w:val="en-US" w:eastAsia="zh-CN" w:bidi="ar-SA"/>
        </w:rPr>
        <w:t>0</w:t>
      </w:r>
      <w:r>
        <w:rPr>
          <w:rFonts w:hint="eastAsia" w:ascii="Times New Roman" w:hAnsi="Times New Roman" w:eastAsia="仿宋_GB2312" w:cs="仿宋_GB2312"/>
          <w:b/>
          <w:bCs/>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公务用车购置及运行维护费支出决算比2023年度增加/减少</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万元，增长/下降</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%。其中：公务用车购置支</w:t>
      </w:r>
      <w:r>
        <w:rPr>
          <w:rFonts w:hint="eastAsia" w:ascii="仿宋_GB2312" w:hAnsi="仿宋_GB2312" w:eastAsia="仿宋_GB2312" w:cs="仿宋_GB2312"/>
          <w:color w:val="auto"/>
          <w:kern w:val="2"/>
          <w:sz w:val="32"/>
          <w:szCs w:val="32"/>
          <w:highlight w:val="none"/>
          <w:lang w:val="en-US" w:eastAsia="zh-CN" w:bidi="ar-SA"/>
        </w:rPr>
        <w:t>出</w:t>
      </w:r>
      <w:r>
        <w:rPr>
          <w:rFonts w:hint="eastAsia" w:ascii="仿宋_GB2312" w:hAnsi="仿宋_GB2312" w:eastAsia="仿宋_GB2312" w:cs="仿宋_GB2312"/>
          <w:color w:val="auto"/>
          <w:sz w:val="32"/>
          <w:szCs w:val="32"/>
        </w:rPr>
        <w:t>0</w:t>
      </w:r>
      <w:r>
        <w:rPr>
          <w:rFonts w:hint="eastAsia" w:ascii="Times New Roman" w:hAnsi="Times New Roman" w:eastAsia="仿宋_GB2312" w:cs="仿宋_GB2312"/>
          <w:color w:val="auto"/>
          <w:kern w:val="2"/>
          <w:sz w:val="32"/>
          <w:szCs w:val="32"/>
          <w:highlight w:val="none"/>
          <w:lang w:val="en-US" w:eastAsia="zh-CN" w:bidi="ar-SA"/>
        </w:rPr>
        <w:t>万元。全年按规定更新购置公务用车</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辆，其中：轿车</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辆、金额</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万元，越野车</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辆、金额</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万元，载客汽车</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辆、金额</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万元。截至2024年12月31日，单位共有公务用车</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辆，其中：轿车</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辆、越野车</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辆、载客汽车</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辆。</w:t>
      </w:r>
    </w:p>
    <w:p w14:paraId="659D2AB0">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公务用车运行维护费支</w:t>
      </w:r>
      <w:r>
        <w:rPr>
          <w:rFonts w:hint="eastAsia" w:ascii="仿宋_GB2312" w:hAnsi="仿宋_GB2312" w:eastAsia="仿宋_GB2312" w:cs="仿宋_GB2312"/>
          <w:color w:val="auto"/>
          <w:kern w:val="2"/>
          <w:sz w:val="32"/>
          <w:szCs w:val="32"/>
          <w:highlight w:val="none"/>
          <w:lang w:val="en-US" w:eastAsia="zh-CN" w:bidi="ar-SA"/>
        </w:rPr>
        <w:t>出</w:t>
      </w:r>
      <w:r>
        <w:rPr>
          <w:rFonts w:hint="eastAsia" w:ascii="仿宋_GB2312" w:hAnsi="仿宋_GB2312" w:eastAsia="仿宋_GB2312" w:cs="仿宋_GB2312"/>
          <w:color w:val="auto"/>
          <w:sz w:val="32"/>
          <w:szCs w:val="32"/>
        </w:rPr>
        <w:t>0</w:t>
      </w:r>
      <w:r>
        <w:rPr>
          <w:rFonts w:hint="eastAsia" w:ascii="Times New Roman" w:hAnsi="Times New Roman" w:eastAsia="仿宋_GB2312" w:cs="仿宋_GB2312"/>
          <w:color w:val="auto"/>
          <w:kern w:val="2"/>
          <w:sz w:val="32"/>
          <w:szCs w:val="32"/>
          <w:highlight w:val="none"/>
          <w:lang w:val="en-US" w:eastAsia="zh-CN" w:bidi="ar-SA"/>
        </w:rPr>
        <w:t>万元。</w:t>
      </w:r>
    </w:p>
    <w:p w14:paraId="113CCB64">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b/>
          <w:bCs/>
          <w:color w:val="auto"/>
          <w:kern w:val="2"/>
          <w:sz w:val="32"/>
          <w:szCs w:val="32"/>
          <w:highlight w:val="none"/>
          <w:lang w:val="en-US" w:eastAsia="zh-CN" w:bidi="ar-SA"/>
        </w:rPr>
        <w:t>3.公务接待费支出</w:t>
      </w:r>
      <w:r>
        <w:rPr>
          <w:rFonts w:hint="eastAsia" w:ascii="仿宋_GB2312" w:hAnsi="仿宋_GB2312" w:eastAsia="仿宋_GB2312" w:cs="仿宋_GB2312"/>
          <w:b/>
          <w:bCs/>
          <w:color w:val="auto"/>
          <w:kern w:val="2"/>
          <w:sz w:val="32"/>
          <w:szCs w:val="32"/>
          <w:highlight w:val="none"/>
          <w:lang w:val="en-US" w:eastAsia="zh-CN" w:bidi="ar-SA"/>
        </w:rPr>
        <w:t>0.41万</w:t>
      </w:r>
      <w:r>
        <w:rPr>
          <w:rFonts w:hint="eastAsia" w:ascii="Times New Roman" w:hAnsi="Times New Roman" w:eastAsia="仿宋_GB2312" w:cs="仿宋_GB2312"/>
          <w:b/>
          <w:bCs/>
          <w:color w:val="auto"/>
          <w:kern w:val="2"/>
          <w:sz w:val="32"/>
          <w:szCs w:val="32"/>
          <w:highlight w:val="none"/>
          <w:lang w:val="en-US" w:eastAsia="zh-CN" w:bidi="ar-SA"/>
        </w:rPr>
        <w:t>元，完成预算</w:t>
      </w:r>
      <w:r>
        <w:rPr>
          <w:rFonts w:hint="eastAsia" w:eastAsia="仿宋_GB2312" w:cs="仿宋_GB2312"/>
          <w:b/>
          <w:bCs/>
          <w:color w:val="auto"/>
          <w:kern w:val="2"/>
          <w:sz w:val="32"/>
          <w:szCs w:val="32"/>
          <w:highlight w:val="none"/>
          <w:lang w:val="en-US" w:eastAsia="zh-CN" w:bidi="ar-SA"/>
        </w:rPr>
        <w:t>100</w:t>
      </w:r>
      <w:r>
        <w:rPr>
          <w:rFonts w:hint="eastAsia" w:ascii="Times New Roman" w:hAnsi="Times New Roman" w:eastAsia="仿宋_GB2312" w:cs="仿宋_GB2312"/>
          <w:b/>
          <w:bCs/>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公务接待费支出决算比2023年度增加</w:t>
      </w:r>
      <w:r>
        <w:rPr>
          <w:rFonts w:hint="eastAsia" w:eastAsia="仿宋_GB2312" w:cs="仿宋_GB2312"/>
          <w:color w:val="auto"/>
          <w:kern w:val="2"/>
          <w:sz w:val="32"/>
          <w:szCs w:val="32"/>
          <w:highlight w:val="none"/>
          <w:lang w:val="en-US" w:eastAsia="zh-CN" w:bidi="ar-SA"/>
        </w:rPr>
        <w:t>0.15</w:t>
      </w:r>
      <w:r>
        <w:rPr>
          <w:rFonts w:hint="eastAsia" w:ascii="Times New Roman" w:hAnsi="Times New Roman" w:eastAsia="仿宋_GB2312" w:cs="仿宋_GB2312"/>
          <w:color w:val="auto"/>
          <w:kern w:val="2"/>
          <w:sz w:val="32"/>
          <w:szCs w:val="32"/>
          <w:highlight w:val="none"/>
          <w:lang w:val="en-US" w:eastAsia="zh-CN" w:bidi="ar-SA"/>
        </w:rPr>
        <w:t>万元，增长</w:t>
      </w:r>
      <w:r>
        <w:rPr>
          <w:rFonts w:hint="eastAsia" w:eastAsia="仿宋_GB2312" w:cs="仿宋_GB2312"/>
          <w:color w:val="auto"/>
          <w:kern w:val="2"/>
          <w:sz w:val="32"/>
          <w:szCs w:val="32"/>
          <w:highlight w:val="none"/>
          <w:lang w:val="en-US" w:eastAsia="zh-CN" w:bidi="ar-SA"/>
        </w:rPr>
        <w:t>57.69</w:t>
      </w:r>
      <w:r>
        <w:rPr>
          <w:rFonts w:hint="eastAsia" w:ascii="Times New Roman" w:hAnsi="Times New Roman" w:eastAsia="仿宋_GB2312" w:cs="仿宋_GB2312"/>
          <w:color w:val="auto"/>
          <w:kern w:val="2"/>
          <w:sz w:val="32"/>
          <w:szCs w:val="32"/>
          <w:highlight w:val="none"/>
          <w:lang w:val="en-US" w:eastAsia="zh-CN" w:bidi="ar-SA"/>
        </w:rPr>
        <w:t>%。主要原因是</w:t>
      </w:r>
      <w:r>
        <w:rPr>
          <w:rFonts w:hint="eastAsia" w:eastAsia="仿宋_GB2312" w:cs="仿宋_GB2312"/>
          <w:color w:val="auto"/>
          <w:kern w:val="2"/>
          <w:sz w:val="32"/>
          <w:szCs w:val="32"/>
          <w:highlight w:val="none"/>
          <w:lang w:val="en-US" w:eastAsia="zh-CN" w:bidi="ar-SA"/>
        </w:rPr>
        <w:t>本年度共接待人数在82人次</w:t>
      </w:r>
      <w:r>
        <w:rPr>
          <w:rFonts w:hint="eastAsia" w:ascii="Times New Roman" w:hAnsi="Times New Roman" w:eastAsia="仿宋_GB2312" w:cs="仿宋_GB2312"/>
          <w:color w:val="auto"/>
          <w:kern w:val="2"/>
          <w:sz w:val="32"/>
          <w:szCs w:val="32"/>
          <w:highlight w:val="none"/>
          <w:lang w:val="en-US" w:eastAsia="zh-CN" w:bidi="ar-SA"/>
        </w:rPr>
        <w:t>。其中：</w:t>
      </w:r>
    </w:p>
    <w:p w14:paraId="3327BDAF">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国内公务接待支</w:t>
      </w:r>
      <w:r>
        <w:rPr>
          <w:rFonts w:hint="eastAsia" w:ascii="仿宋_GB2312" w:hAnsi="仿宋_GB2312" w:eastAsia="仿宋_GB2312" w:cs="仿宋_GB2312"/>
          <w:color w:val="auto"/>
          <w:kern w:val="2"/>
          <w:sz w:val="32"/>
          <w:szCs w:val="32"/>
          <w:highlight w:val="none"/>
          <w:lang w:val="en-US" w:eastAsia="zh-CN" w:bidi="ar-SA"/>
        </w:rPr>
        <w:t>出</w:t>
      </w:r>
      <w:r>
        <w:rPr>
          <w:rFonts w:hint="eastAsia" w:ascii="仿宋_GB2312" w:hAnsi="仿宋_GB2312" w:eastAsia="仿宋_GB2312" w:cs="仿宋_GB2312"/>
          <w:color w:val="auto"/>
          <w:sz w:val="32"/>
          <w:szCs w:val="32"/>
        </w:rPr>
        <w:t>0.41</w:t>
      </w:r>
      <w:r>
        <w:rPr>
          <w:rFonts w:hint="eastAsia" w:ascii="仿宋_GB2312" w:hAnsi="仿宋_GB2312" w:eastAsia="仿宋_GB2312" w:cs="仿宋_GB2312"/>
          <w:color w:val="auto"/>
          <w:kern w:val="2"/>
          <w:sz w:val="32"/>
          <w:szCs w:val="32"/>
          <w:highlight w:val="none"/>
          <w:lang w:val="en-US" w:eastAsia="zh-CN" w:bidi="ar-SA"/>
        </w:rPr>
        <w:t>万</w:t>
      </w:r>
      <w:r>
        <w:rPr>
          <w:rFonts w:hint="eastAsia" w:ascii="Times New Roman" w:hAnsi="Times New Roman" w:eastAsia="仿宋_GB2312" w:cs="仿宋_GB2312"/>
          <w:color w:val="auto"/>
          <w:kern w:val="2"/>
          <w:sz w:val="32"/>
          <w:szCs w:val="32"/>
          <w:highlight w:val="none"/>
          <w:lang w:val="en-US" w:eastAsia="zh-CN" w:bidi="ar-SA"/>
        </w:rPr>
        <w:t>元，主要用于执行公务、开展业务活动开支的交通费、住宿费、用餐费等。国内公务接</w:t>
      </w:r>
      <w:r>
        <w:rPr>
          <w:rFonts w:hint="eastAsia" w:ascii="仿宋_GB2312" w:hAnsi="仿宋_GB2312" w:eastAsia="仿宋_GB2312" w:cs="仿宋_GB2312"/>
          <w:color w:val="auto"/>
          <w:kern w:val="2"/>
          <w:sz w:val="32"/>
          <w:szCs w:val="32"/>
          <w:highlight w:val="none"/>
          <w:lang w:val="en-US" w:eastAsia="zh-CN" w:bidi="ar-SA"/>
        </w:rPr>
        <w:t>待</w:t>
      </w:r>
      <w:r>
        <w:rPr>
          <w:rFonts w:hint="eastAsia" w:ascii="仿宋_GB2312" w:hAnsi="仿宋_GB2312" w:eastAsia="仿宋_GB2312" w:cs="仿宋_GB2312"/>
          <w:color w:val="auto"/>
          <w:sz w:val="32"/>
          <w:szCs w:val="32"/>
        </w:rPr>
        <w:t>9</w:t>
      </w:r>
      <w:r>
        <w:rPr>
          <w:rFonts w:hint="eastAsia" w:ascii="仿宋_GB2312" w:hAnsi="仿宋_GB2312" w:eastAsia="仿宋_GB2312" w:cs="仿宋_GB2312"/>
          <w:color w:val="auto"/>
          <w:kern w:val="2"/>
          <w:sz w:val="32"/>
          <w:szCs w:val="32"/>
          <w:highlight w:val="none"/>
          <w:lang w:val="en-US" w:eastAsia="zh-CN" w:bidi="ar-SA"/>
        </w:rPr>
        <w:t>批次，</w:t>
      </w:r>
      <w:r>
        <w:rPr>
          <w:rFonts w:hint="eastAsia" w:ascii="仿宋_GB2312" w:hAnsi="仿宋_GB2312" w:eastAsia="仿宋_GB2312" w:cs="仿宋_GB2312"/>
          <w:color w:val="auto"/>
          <w:sz w:val="32"/>
          <w:szCs w:val="32"/>
        </w:rPr>
        <w:t>82</w:t>
      </w:r>
      <w:r>
        <w:rPr>
          <w:rFonts w:hint="eastAsia" w:ascii="Times New Roman" w:hAnsi="Times New Roman" w:eastAsia="仿宋_GB2312" w:cs="仿宋_GB2312"/>
          <w:color w:val="auto"/>
          <w:kern w:val="2"/>
          <w:sz w:val="32"/>
          <w:szCs w:val="32"/>
          <w:highlight w:val="none"/>
          <w:lang w:val="en-US" w:eastAsia="zh-CN" w:bidi="ar-SA"/>
        </w:rPr>
        <w:t>人次（不包括陪同人员），共计支出</w:t>
      </w:r>
      <w:r>
        <w:rPr>
          <w:rFonts w:hint="eastAsia" w:eastAsia="仿宋_GB2312" w:cs="仿宋_GB2312"/>
          <w:color w:val="auto"/>
          <w:kern w:val="2"/>
          <w:sz w:val="32"/>
          <w:szCs w:val="32"/>
          <w:highlight w:val="none"/>
          <w:lang w:val="en-US" w:eastAsia="zh-CN" w:bidi="ar-SA"/>
        </w:rPr>
        <w:t>0.42</w:t>
      </w:r>
      <w:r>
        <w:rPr>
          <w:rFonts w:hint="eastAsia" w:ascii="Times New Roman" w:hAnsi="Times New Roman" w:eastAsia="仿宋_GB2312" w:cs="仿宋_GB2312"/>
          <w:color w:val="auto"/>
          <w:kern w:val="2"/>
          <w:sz w:val="32"/>
          <w:szCs w:val="32"/>
          <w:highlight w:val="none"/>
          <w:lang w:val="en-US" w:eastAsia="zh-CN" w:bidi="ar-SA"/>
        </w:rPr>
        <w:t>万元，具体内容包括：开展业务活动开支的交通费、住宿费、用餐费等。</w:t>
      </w:r>
    </w:p>
    <w:p w14:paraId="767197A6">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外事接待支</w:t>
      </w:r>
      <w:r>
        <w:rPr>
          <w:rFonts w:hint="eastAsia" w:ascii="仿宋_GB2312" w:hAnsi="仿宋_GB2312" w:eastAsia="仿宋_GB2312" w:cs="仿宋_GB2312"/>
          <w:color w:val="auto"/>
          <w:kern w:val="2"/>
          <w:sz w:val="32"/>
          <w:szCs w:val="32"/>
          <w:highlight w:val="none"/>
          <w:lang w:val="en-US" w:eastAsia="zh-CN" w:bidi="ar-SA"/>
        </w:rPr>
        <w:t>出</w:t>
      </w:r>
      <w:r>
        <w:rPr>
          <w:rFonts w:hint="eastAsia" w:ascii="仿宋_GB2312" w:hAnsi="仿宋_GB2312" w:eastAsia="仿宋_GB2312" w:cs="仿宋_GB2312"/>
          <w:color w:val="auto"/>
          <w:sz w:val="32"/>
          <w:szCs w:val="32"/>
        </w:rPr>
        <w:t>0</w:t>
      </w:r>
      <w:r>
        <w:rPr>
          <w:rFonts w:hint="eastAsia" w:ascii="仿宋_GB2312" w:hAnsi="仿宋_GB2312" w:eastAsia="仿宋_GB2312" w:cs="仿宋_GB2312"/>
          <w:color w:val="auto"/>
          <w:kern w:val="2"/>
          <w:sz w:val="32"/>
          <w:szCs w:val="32"/>
          <w:highlight w:val="none"/>
          <w:lang w:val="en-US" w:eastAsia="zh-CN" w:bidi="ar-SA"/>
        </w:rPr>
        <w:t>万元。外事接待</w:t>
      </w:r>
      <w:r>
        <w:rPr>
          <w:rFonts w:hint="eastAsia" w:ascii="仿宋_GB2312" w:hAnsi="仿宋_GB2312" w:eastAsia="仿宋_GB2312" w:cs="仿宋_GB2312"/>
          <w:color w:val="auto"/>
          <w:sz w:val="32"/>
          <w:szCs w:val="32"/>
        </w:rPr>
        <w:t>0</w:t>
      </w:r>
      <w:r>
        <w:rPr>
          <w:rFonts w:hint="eastAsia" w:ascii="仿宋_GB2312" w:hAnsi="仿宋_GB2312" w:eastAsia="仿宋_GB2312" w:cs="仿宋_GB2312"/>
          <w:color w:val="auto"/>
          <w:kern w:val="2"/>
          <w:sz w:val="32"/>
          <w:szCs w:val="32"/>
          <w:highlight w:val="none"/>
          <w:lang w:val="en-US" w:eastAsia="zh-CN" w:bidi="ar-SA"/>
        </w:rPr>
        <w:t>批次，</w:t>
      </w:r>
      <w:r>
        <w:rPr>
          <w:rFonts w:hint="eastAsia" w:ascii="仿宋_GB2312" w:hAnsi="仿宋_GB2312" w:eastAsia="仿宋_GB2312" w:cs="仿宋_GB2312"/>
          <w:color w:val="auto"/>
          <w:sz w:val="32"/>
          <w:szCs w:val="32"/>
        </w:rPr>
        <w:t>0</w:t>
      </w:r>
      <w:r>
        <w:rPr>
          <w:rFonts w:hint="eastAsia" w:ascii="仿宋_GB2312" w:hAnsi="仿宋_GB2312" w:eastAsia="仿宋_GB2312" w:cs="仿宋_GB2312"/>
          <w:color w:val="auto"/>
          <w:kern w:val="2"/>
          <w:sz w:val="32"/>
          <w:szCs w:val="32"/>
          <w:highlight w:val="none"/>
          <w:lang w:val="en-US" w:eastAsia="zh-CN" w:bidi="ar-SA"/>
        </w:rPr>
        <w:t>人次（不包括陪同人员），共计支出0万</w:t>
      </w:r>
      <w:r>
        <w:rPr>
          <w:rFonts w:hint="eastAsia" w:ascii="Times New Roman" w:hAnsi="Times New Roman" w:eastAsia="仿宋_GB2312" w:cs="仿宋_GB2312"/>
          <w:color w:val="auto"/>
          <w:kern w:val="2"/>
          <w:sz w:val="32"/>
          <w:szCs w:val="32"/>
          <w:highlight w:val="none"/>
          <w:lang w:val="en-US" w:eastAsia="zh-CN" w:bidi="ar-SA"/>
        </w:rPr>
        <w:t>元。</w:t>
      </w:r>
      <w:bookmarkStart w:id="40" w:name="_Toc15396610"/>
      <w:bookmarkStart w:id="41" w:name="_Toc15377218"/>
    </w:p>
    <w:p w14:paraId="384ADC93">
      <w:pPr>
        <w:spacing w:line="600" w:lineRule="exact"/>
        <w:ind w:firstLine="640"/>
        <w:outlineLvl w:val="1"/>
        <w:rPr>
          <w:rStyle w:val="31"/>
          <w:rFonts w:ascii="Times New Roman" w:hAnsi="Times New Roman" w:eastAsia="黑体"/>
          <w:color w:val="auto"/>
          <w:highlight w:val="none"/>
        </w:rPr>
      </w:pPr>
      <w:r>
        <w:rPr>
          <w:rFonts w:hint="eastAsia" w:ascii="Times New Roman" w:hAnsi="Times New Roman" w:eastAsia="黑体"/>
          <w:color w:val="auto"/>
          <w:sz w:val="32"/>
          <w:szCs w:val="32"/>
          <w:highlight w:val="none"/>
        </w:rPr>
        <w:t>八、</w:t>
      </w:r>
      <w:r>
        <w:rPr>
          <w:rStyle w:val="31"/>
          <w:rFonts w:hint="eastAsia" w:ascii="Times New Roman" w:hAnsi="Times New Roman" w:eastAsia="黑体"/>
          <w:b w:val="0"/>
          <w:color w:val="auto"/>
          <w:highlight w:val="none"/>
        </w:rPr>
        <w:t>政府性基金预算支出决算情况说明</w:t>
      </w:r>
      <w:bookmarkEnd w:id="40"/>
      <w:bookmarkEnd w:id="41"/>
    </w:p>
    <w:p w14:paraId="5AE62E90">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2024年度政府性基金预算财政拨款支出</w:t>
      </w:r>
      <w:r>
        <w:rPr>
          <w:rFonts w:hint="eastAsia" w:ascii="仿宋_GB2312" w:hAnsi="仿宋_GB2312" w:eastAsia="仿宋_GB2312" w:cs="仿宋_GB2312"/>
          <w:color w:val="auto"/>
          <w:sz w:val="32"/>
          <w:szCs w:val="32"/>
        </w:rPr>
        <w:t>0</w:t>
      </w:r>
      <w:r>
        <w:rPr>
          <w:rFonts w:hint="eastAsia" w:ascii="仿宋_GB2312" w:hAnsi="仿宋_GB2312" w:eastAsia="仿宋_GB2312" w:cs="仿宋_GB2312"/>
          <w:color w:val="auto"/>
          <w:kern w:val="2"/>
          <w:sz w:val="32"/>
          <w:szCs w:val="32"/>
          <w:highlight w:val="none"/>
          <w:lang w:val="en-US" w:eastAsia="zh-CN" w:bidi="ar-SA"/>
        </w:rPr>
        <w:t>万元，占本年支出合计的</w:t>
      </w:r>
      <w:r>
        <w:rPr>
          <w:rFonts w:hint="eastAsia" w:ascii="仿宋_GB2312" w:hAnsi="仿宋_GB2312" w:eastAsia="仿宋_GB2312" w:cs="仿宋_GB2312"/>
          <w:color w:val="auto"/>
          <w:sz w:val="32"/>
          <w:szCs w:val="32"/>
        </w:rPr>
        <w:t>0</w:t>
      </w:r>
      <w:r>
        <w:rPr>
          <w:rFonts w:hint="eastAsia" w:ascii="仿宋_GB2312" w:hAnsi="仿宋_GB2312"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。与2023年度相比，政府性基金预算财政拨款支出增加/减少</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万元，增长/下降</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w:t>
      </w:r>
    </w:p>
    <w:p w14:paraId="0AAC9E4F">
      <w:pPr>
        <w:numPr>
          <w:ilvl w:val="0"/>
          <w:numId w:val="0"/>
        </w:numPr>
        <w:spacing w:line="600" w:lineRule="exact"/>
        <w:ind w:left="630" w:leftChars="0"/>
        <w:outlineLvl w:val="1"/>
        <w:rPr>
          <w:rStyle w:val="31"/>
          <w:rFonts w:ascii="Times New Roman" w:hAnsi="Times New Roman" w:eastAsia="黑体"/>
          <w:b w:val="0"/>
          <w:color w:val="auto"/>
          <w:highlight w:val="none"/>
        </w:rPr>
      </w:pPr>
      <w:bookmarkStart w:id="42" w:name="_Toc15396611"/>
      <w:bookmarkStart w:id="43" w:name="_Toc15377219"/>
      <w:r>
        <w:rPr>
          <w:rStyle w:val="31"/>
          <w:rFonts w:hint="eastAsia" w:ascii="Times New Roman" w:hAnsi="Times New Roman" w:eastAsia="黑体"/>
          <w:b w:val="0"/>
          <w:color w:val="auto"/>
          <w:highlight w:val="none"/>
          <w:lang w:eastAsia="zh-CN"/>
        </w:rPr>
        <w:t>九、</w:t>
      </w:r>
      <w:r>
        <w:rPr>
          <w:rStyle w:val="31"/>
          <w:rFonts w:hint="eastAsia" w:ascii="Times New Roman" w:hAnsi="Times New Roman" w:eastAsia="黑体"/>
          <w:b w:val="0"/>
          <w:color w:val="auto"/>
          <w:highlight w:val="none"/>
        </w:rPr>
        <w:t>国有资本经营预算支出决算情况说明</w:t>
      </w:r>
      <w:bookmarkEnd w:id="42"/>
      <w:bookmarkEnd w:id="43"/>
    </w:p>
    <w:p w14:paraId="261D2253">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2024年度国有资本经营预算财政拨款支出</w:t>
      </w:r>
      <w:r>
        <w:rPr>
          <w:rFonts w:hint="eastAsia" w:ascii="仿宋_GB2312" w:hAnsi="仿宋_GB2312" w:eastAsia="仿宋_GB2312" w:cs="仿宋_GB2312"/>
          <w:color w:val="auto"/>
          <w:sz w:val="32"/>
          <w:szCs w:val="32"/>
        </w:rPr>
        <w:t>0</w:t>
      </w:r>
      <w:r>
        <w:rPr>
          <w:rFonts w:hint="eastAsia" w:ascii="仿宋_GB2312" w:hAnsi="仿宋_GB2312" w:eastAsia="仿宋_GB2312" w:cs="仿宋_GB2312"/>
          <w:color w:val="auto"/>
          <w:kern w:val="2"/>
          <w:sz w:val="32"/>
          <w:szCs w:val="32"/>
          <w:highlight w:val="none"/>
          <w:lang w:val="en-US" w:eastAsia="zh-CN" w:bidi="ar-SA"/>
        </w:rPr>
        <w:t>万元，占本年支出合计的</w:t>
      </w:r>
      <w:r>
        <w:rPr>
          <w:rFonts w:hint="eastAsia" w:ascii="仿宋_GB2312" w:hAnsi="仿宋_GB2312" w:eastAsia="仿宋_GB2312" w:cs="仿宋_GB2312"/>
          <w:color w:val="auto"/>
          <w:sz w:val="32"/>
          <w:szCs w:val="32"/>
        </w:rPr>
        <w:t>0</w:t>
      </w:r>
      <w:r>
        <w:rPr>
          <w:rFonts w:hint="eastAsia" w:ascii="仿宋_GB2312" w:hAnsi="仿宋_GB2312"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。与2023年度相比，国有资本经营预算财政拨款支出增加/减少</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万元，增长/下降</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w:t>
      </w:r>
    </w:p>
    <w:p w14:paraId="1FF93C05">
      <w:pPr>
        <w:numPr>
          <w:ilvl w:val="0"/>
          <w:numId w:val="0"/>
        </w:numPr>
        <w:spacing w:line="600" w:lineRule="exact"/>
        <w:ind w:left="630" w:leftChars="0"/>
        <w:outlineLvl w:val="1"/>
        <w:rPr>
          <w:rStyle w:val="31"/>
          <w:rFonts w:hint="eastAsia" w:ascii="Times New Roman" w:hAnsi="Times New Roman" w:eastAsia="黑体"/>
          <w:b w:val="0"/>
          <w:color w:val="auto"/>
          <w:highlight w:val="none"/>
        </w:rPr>
      </w:pPr>
      <w:bookmarkStart w:id="44" w:name="_Toc15396612"/>
      <w:bookmarkStart w:id="45" w:name="_Toc15377221"/>
      <w:r>
        <w:rPr>
          <w:rStyle w:val="31"/>
          <w:rFonts w:hint="eastAsia" w:ascii="Times New Roman" w:hAnsi="Times New Roman" w:eastAsia="黑体"/>
          <w:b w:val="0"/>
          <w:color w:val="auto"/>
          <w:highlight w:val="none"/>
          <w:lang w:eastAsia="zh-CN"/>
        </w:rPr>
        <w:t>十、</w:t>
      </w:r>
      <w:r>
        <w:rPr>
          <w:rStyle w:val="31"/>
          <w:rFonts w:hint="eastAsia" w:ascii="Times New Roman" w:hAnsi="Times New Roman" w:eastAsia="黑体"/>
          <w:b w:val="0"/>
          <w:color w:val="auto"/>
          <w:highlight w:val="none"/>
        </w:rPr>
        <w:t>其他重要事项的情况说明</w:t>
      </w:r>
      <w:bookmarkEnd w:id="44"/>
      <w:bookmarkEnd w:id="45"/>
    </w:p>
    <w:p w14:paraId="5A676822">
      <w:pPr>
        <w:spacing w:line="600" w:lineRule="exact"/>
        <w:ind w:firstLine="643" w:firstLineChars="200"/>
        <w:outlineLvl w:val="2"/>
        <w:rPr>
          <w:rFonts w:hint="eastAsia" w:ascii="Times New Roman" w:hAnsi="Times New Roman" w:eastAsia="楷体_GB2312" w:cs="楷体_GB2312"/>
          <w:b/>
          <w:color w:val="auto"/>
          <w:sz w:val="32"/>
          <w:szCs w:val="32"/>
          <w:highlight w:val="none"/>
        </w:rPr>
      </w:pPr>
      <w:bookmarkStart w:id="46" w:name="_Toc15377222"/>
      <w:r>
        <w:rPr>
          <w:rFonts w:hint="eastAsia" w:ascii="Times New Roman" w:hAnsi="Times New Roman" w:eastAsia="楷体_GB2312" w:cs="楷体_GB2312"/>
          <w:b/>
          <w:color w:val="auto"/>
          <w:sz w:val="32"/>
          <w:szCs w:val="32"/>
          <w:highlight w:val="none"/>
        </w:rPr>
        <w:t>（一）机关运行经费支出情况</w:t>
      </w:r>
      <w:bookmarkEnd w:id="46"/>
    </w:p>
    <w:p w14:paraId="2BCE4877">
      <w:pPr>
        <w:spacing w:line="600" w:lineRule="exact"/>
        <w:ind w:firstLine="640"/>
        <w:rPr>
          <w:rFonts w:hint="eastAsia"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2024年度</w:t>
      </w:r>
      <w:r>
        <w:rPr>
          <w:rFonts w:hint="eastAsia" w:ascii="仿宋_GB2312" w:hAnsi="仿宋_GB2312" w:eastAsia="仿宋_GB2312" w:cs="仿宋_GB2312"/>
          <w:color w:val="auto"/>
          <w:kern w:val="2"/>
          <w:sz w:val="32"/>
          <w:szCs w:val="32"/>
          <w:highlight w:val="none"/>
          <w:lang w:val="en-US" w:eastAsia="zh-CN" w:bidi="ar-SA"/>
        </w:rPr>
        <w:t>，</w:t>
      </w:r>
      <w:r>
        <w:rPr>
          <w:rFonts w:hint="eastAsia" w:ascii="仿宋_GB2312" w:hAnsi="仿宋_GB2312" w:eastAsia="仿宋_GB2312" w:cs="仿宋_GB2312"/>
          <w:color w:val="auto"/>
          <w:sz w:val="32"/>
          <w:szCs w:val="32"/>
        </w:rPr>
        <w:t>乐山市金口河区粮食和物资储备中心</w:t>
      </w:r>
      <w:r>
        <w:rPr>
          <w:rFonts w:hint="eastAsia" w:ascii="仿宋_GB2312" w:hAnsi="仿宋_GB2312" w:eastAsia="仿宋_GB2312" w:cs="仿宋_GB2312"/>
          <w:color w:val="auto"/>
          <w:kern w:val="2"/>
          <w:sz w:val="32"/>
          <w:szCs w:val="32"/>
          <w:highlight w:val="none"/>
          <w:lang w:val="en-US" w:eastAsia="zh-CN" w:bidi="ar-SA"/>
        </w:rPr>
        <w:t>机关运行经费支出</w:t>
      </w:r>
      <w:r>
        <w:rPr>
          <w:rFonts w:hint="eastAsia" w:ascii="仿宋_GB2312" w:hAnsi="仿宋_GB2312" w:eastAsia="仿宋_GB2312" w:cs="仿宋_GB2312"/>
          <w:color w:val="auto"/>
          <w:sz w:val="32"/>
          <w:szCs w:val="32"/>
        </w:rPr>
        <w:t>16.26</w:t>
      </w:r>
      <w:r>
        <w:rPr>
          <w:rFonts w:hint="eastAsia" w:ascii="仿宋_GB2312" w:hAnsi="仿宋_GB2312" w:eastAsia="仿宋_GB2312" w:cs="仿宋_GB2312"/>
          <w:color w:val="auto"/>
          <w:kern w:val="2"/>
          <w:sz w:val="32"/>
          <w:szCs w:val="32"/>
          <w:highlight w:val="none"/>
          <w:lang w:val="en-US" w:eastAsia="zh-CN" w:bidi="ar-SA"/>
        </w:rPr>
        <w:t>万</w:t>
      </w:r>
      <w:r>
        <w:rPr>
          <w:rFonts w:hint="eastAsia" w:ascii="Times New Roman" w:hAnsi="Times New Roman" w:eastAsia="仿宋_GB2312" w:cs="仿宋_GB2312"/>
          <w:color w:val="auto"/>
          <w:kern w:val="2"/>
          <w:sz w:val="32"/>
          <w:szCs w:val="32"/>
          <w:highlight w:val="none"/>
          <w:lang w:val="en-US" w:eastAsia="zh-CN" w:bidi="ar-SA"/>
        </w:rPr>
        <w:t>元，比2023年度增加</w:t>
      </w:r>
      <w:r>
        <w:rPr>
          <w:rFonts w:hint="eastAsia" w:eastAsia="仿宋_GB2312" w:cs="仿宋_GB2312"/>
          <w:color w:val="auto"/>
          <w:kern w:val="2"/>
          <w:sz w:val="32"/>
          <w:szCs w:val="32"/>
          <w:highlight w:val="none"/>
          <w:lang w:val="en-US" w:eastAsia="zh-CN" w:bidi="ar-SA"/>
        </w:rPr>
        <w:t>0.07</w:t>
      </w:r>
      <w:r>
        <w:rPr>
          <w:rFonts w:hint="eastAsia" w:ascii="Times New Roman" w:hAnsi="Times New Roman" w:eastAsia="仿宋_GB2312" w:cs="仿宋_GB2312"/>
          <w:color w:val="auto"/>
          <w:kern w:val="2"/>
          <w:sz w:val="32"/>
          <w:szCs w:val="32"/>
          <w:highlight w:val="none"/>
          <w:lang w:val="en-US" w:eastAsia="zh-CN" w:bidi="ar-SA"/>
        </w:rPr>
        <w:t>万元，增长</w:t>
      </w:r>
      <w:r>
        <w:rPr>
          <w:rFonts w:hint="eastAsia" w:eastAsia="仿宋_GB2312" w:cs="仿宋_GB2312"/>
          <w:color w:val="auto"/>
          <w:kern w:val="2"/>
          <w:sz w:val="32"/>
          <w:szCs w:val="32"/>
          <w:highlight w:val="none"/>
          <w:lang w:val="en-US" w:eastAsia="zh-CN" w:bidi="ar-SA"/>
        </w:rPr>
        <w:t>0.43</w:t>
      </w:r>
      <w:r>
        <w:rPr>
          <w:rFonts w:hint="eastAsia" w:ascii="Times New Roman" w:hAnsi="Times New Roman" w:eastAsia="仿宋_GB2312" w:cs="仿宋_GB2312"/>
          <w:color w:val="auto"/>
          <w:kern w:val="2"/>
          <w:sz w:val="32"/>
          <w:szCs w:val="32"/>
          <w:highlight w:val="none"/>
          <w:lang w:val="en-US" w:eastAsia="zh-CN" w:bidi="ar-SA"/>
        </w:rPr>
        <w:t>%</w:t>
      </w:r>
      <w:r>
        <w:rPr>
          <w:rFonts w:hint="eastAsia" w:eastAsia="仿宋_GB2312" w:cs="仿宋_GB2312"/>
          <w:color w:val="auto"/>
          <w:kern w:val="2"/>
          <w:sz w:val="32"/>
          <w:szCs w:val="32"/>
          <w:highlight w:val="none"/>
          <w:lang w:val="en-US" w:eastAsia="zh-CN" w:bidi="ar-SA"/>
        </w:rPr>
        <w:t>，基本与上年持平。</w:t>
      </w:r>
    </w:p>
    <w:p w14:paraId="2776DDA7">
      <w:pPr>
        <w:spacing w:line="600" w:lineRule="exact"/>
        <w:ind w:firstLine="643" w:firstLineChars="200"/>
        <w:outlineLvl w:val="2"/>
        <w:rPr>
          <w:rFonts w:hint="eastAsia" w:ascii="Times New Roman" w:hAnsi="Times New Roman" w:eastAsia="楷体_GB2312" w:cs="楷体_GB2312"/>
          <w:b/>
          <w:color w:val="auto"/>
          <w:sz w:val="32"/>
          <w:szCs w:val="32"/>
          <w:highlight w:val="none"/>
        </w:rPr>
      </w:pPr>
      <w:bookmarkStart w:id="47" w:name="_Toc15377223"/>
      <w:r>
        <w:rPr>
          <w:rFonts w:hint="eastAsia" w:ascii="Times New Roman" w:hAnsi="Times New Roman" w:eastAsia="楷体_GB2312" w:cs="楷体_GB2312"/>
          <w:b/>
          <w:color w:val="auto"/>
          <w:sz w:val="32"/>
          <w:szCs w:val="32"/>
          <w:highlight w:val="none"/>
        </w:rPr>
        <w:t>（二）政府采购支出情况</w:t>
      </w:r>
      <w:bookmarkEnd w:id="47"/>
    </w:p>
    <w:p w14:paraId="605439AA">
      <w:pPr>
        <w:spacing w:line="600" w:lineRule="exact"/>
        <w:ind w:firstLine="640"/>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2024年度，</w:t>
      </w:r>
      <w:r>
        <w:rPr>
          <w:rFonts w:hint="eastAsia" w:ascii="仿宋_GB2312" w:hAnsi="仿宋_GB2312" w:eastAsia="仿宋_GB2312" w:cs="仿宋_GB2312"/>
          <w:color w:val="auto"/>
          <w:sz w:val="32"/>
          <w:szCs w:val="32"/>
        </w:rPr>
        <w:t>乐山市金口河区粮食和物资储备中心</w:t>
      </w:r>
      <w:r>
        <w:rPr>
          <w:rFonts w:hint="eastAsia" w:ascii="仿宋_GB2312" w:hAnsi="仿宋_GB2312" w:eastAsia="仿宋_GB2312" w:cs="仿宋_GB2312"/>
          <w:color w:val="auto"/>
          <w:kern w:val="2"/>
          <w:sz w:val="32"/>
          <w:szCs w:val="32"/>
          <w:highlight w:val="none"/>
          <w:lang w:val="en-US" w:eastAsia="zh-CN" w:bidi="ar-SA"/>
        </w:rPr>
        <w:t>政府采购支出总额</w:t>
      </w:r>
      <w:r>
        <w:rPr>
          <w:rFonts w:hint="eastAsia" w:ascii="仿宋_GB2312" w:hAnsi="仿宋_GB2312" w:eastAsia="仿宋_GB2312" w:cs="仿宋_GB2312"/>
          <w:color w:val="auto"/>
          <w:sz w:val="32"/>
          <w:szCs w:val="32"/>
        </w:rPr>
        <w:t>0</w:t>
      </w:r>
      <w:r>
        <w:rPr>
          <w:rFonts w:hint="eastAsia" w:ascii="仿宋_GB2312" w:hAnsi="仿宋_GB2312" w:eastAsia="仿宋_GB2312" w:cs="仿宋_GB2312"/>
          <w:color w:val="auto"/>
          <w:kern w:val="2"/>
          <w:sz w:val="32"/>
          <w:szCs w:val="32"/>
          <w:highlight w:val="none"/>
          <w:lang w:val="en-US" w:eastAsia="zh-CN" w:bidi="ar-SA"/>
        </w:rPr>
        <w:t>万元，其中：政府采购货物支出</w:t>
      </w:r>
      <w:r>
        <w:rPr>
          <w:rFonts w:hint="eastAsia" w:ascii="仿宋_GB2312" w:hAnsi="仿宋_GB2312" w:eastAsia="仿宋_GB2312" w:cs="仿宋_GB2312"/>
          <w:color w:val="auto"/>
          <w:sz w:val="32"/>
          <w:szCs w:val="32"/>
        </w:rPr>
        <w:t>0</w:t>
      </w:r>
      <w:r>
        <w:rPr>
          <w:rFonts w:hint="eastAsia" w:ascii="仿宋_GB2312" w:hAnsi="仿宋_GB2312" w:eastAsia="仿宋_GB2312" w:cs="仿宋_GB2312"/>
          <w:color w:val="auto"/>
          <w:kern w:val="2"/>
          <w:sz w:val="32"/>
          <w:szCs w:val="32"/>
          <w:highlight w:val="none"/>
          <w:lang w:val="en-US" w:eastAsia="zh-CN" w:bidi="ar-SA"/>
        </w:rPr>
        <w:t>万元、政府采购工程支出</w:t>
      </w:r>
      <w:r>
        <w:rPr>
          <w:rFonts w:hint="eastAsia" w:ascii="仿宋_GB2312" w:hAnsi="仿宋_GB2312" w:eastAsia="仿宋_GB2312" w:cs="仿宋_GB2312"/>
          <w:color w:val="auto"/>
          <w:sz w:val="32"/>
          <w:szCs w:val="32"/>
        </w:rPr>
        <w:t>0</w:t>
      </w:r>
      <w:r>
        <w:rPr>
          <w:rFonts w:hint="eastAsia" w:ascii="仿宋_GB2312" w:hAnsi="仿宋_GB2312" w:eastAsia="仿宋_GB2312" w:cs="仿宋_GB2312"/>
          <w:color w:val="auto"/>
          <w:kern w:val="2"/>
          <w:sz w:val="32"/>
          <w:szCs w:val="32"/>
          <w:highlight w:val="none"/>
          <w:lang w:val="en-US" w:eastAsia="zh-CN" w:bidi="ar-SA"/>
        </w:rPr>
        <w:t>万元、政府采购服务支出</w:t>
      </w:r>
      <w:r>
        <w:rPr>
          <w:rFonts w:hint="eastAsia" w:ascii="仿宋_GB2312" w:hAnsi="仿宋_GB2312" w:eastAsia="仿宋_GB2312" w:cs="仿宋_GB2312"/>
          <w:color w:val="auto"/>
          <w:sz w:val="32"/>
          <w:szCs w:val="32"/>
        </w:rPr>
        <w:t>0</w:t>
      </w:r>
      <w:r>
        <w:rPr>
          <w:rFonts w:hint="eastAsia" w:ascii="仿宋_GB2312" w:hAnsi="仿宋_GB2312" w:eastAsia="仿宋_GB2312" w:cs="仿宋_GB2312"/>
          <w:color w:val="auto"/>
          <w:kern w:val="2"/>
          <w:sz w:val="32"/>
          <w:szCs w:val="32"/>
          <w:highlight w:val="none"/>
          <w:lang w:val="en-US" w:eastAsia="zh-CN" w:bidi="ar-SA"/>
        </w:rPr>
        <w:t>万元。授予中小企业合同金额</w:t>
      </w:r>
      <w:r>
        <w:rPr>
          <w:rFonts w:hint="eastAsia" w:ascii="仿宋_GB2312" w:hAnsi="仿宋_GB2312" w:eastAsia="仿宋_GB2312" w:cs="仿宋_GB2312"/>
          <w:color w:val="auto"/>
          <w:sz w:val="32"/>
          <w:szCs w:val="32"/>
        </w:rPr>
        <w:t>0</w:t>
      </w:r>
      <w:r>
        <w:rPr>
          <w:rFonts w:hint="eastAsia" w:ascii="仿宋_GB2312" w:hAnsi="仿宋_GB2312" w:eastAsia="仿宋_GB2312" w:cs="仿宋_GB2312"/>
          <w:color w:val="auto"/>
          <w:kern w:val="2"/>
          <w:sz w:val="32"/>
          <w:szCs w:val="32"/>
          <w:highlight w:val="none"/>
          <w:lang w:val="en-US" w:eastAsia="zh-CN" w:bidi="ar-SA"/>
        </w:rPr>
        <w:t>万元，占政府采购支出总额的</w:t>
      </w:r>
      <w:r>
        <w:rPr>
          <w:rFonts w:hint="eastAsia" w:ascii="仿宋_GB2312" w:hAnsi="仿宋_GB2312" w:eastAsia="仿宋_GB2312" w:cs="仿宋_GB2312"/>
          <w:color w:val="auto"/>
          <w:sz w:val="32"/>
          <w:szCs w:val="32"/>
        </w:rPr>
        <w:t>0</w:t>
      </w:r>
      <w:r>
        <w:rPr>
          <w:rFonts w:hint="eastAsia" w:ascii="仿宋_GB2312" w:hAnsi="仿宋_GB2312" w:eastAsia="仿宋_GB2312" w:cs="仿宋_GB2312"/>
          <w:color w:val="auto"/>
          <w:kern w:val="2"/>
          <w:sz w:val="32"/>
          <w:szCs w:val="32"/>
          <w:highlight w:val="none"/>
          <w:lang w:val="en-US" w:eastAsia="zh-CN" w:bidi="ar-SA"/>
        </w:rPr>
        <w:t>%，其中：授予小微企业合同金额</w:t>
      </w:r>
      <w:r>
        <w:rPr>
          <w:rFonts w:hint="eastAsia" w:ascii="仿宋_GB2312" w:hAnsi="仿宋_GB2312" w:eastAsia="仿宋_GB2312" w:cs="仿宋_GB2312"/>
          <w:color w:val="auto"/>
          <w:sz w:val="32"/>
          <w:szCs w:val="32"/>
        </w:rPr>
        <w:t>0</w:t>
      </w:r>
      <w:r>
        <w:rPr>
          <w:rFonts w:hint="eastAsia" w:ascii="仿宋_GB2312" w:hAnsi="仿宋_GB2312" w:eastAsia="仿宋_GB2312" w:cs="仿宋_GB2312"/>
          <w:color w:val="auto"/>
          <w:kern w:val="2"/>
          <w:sz w:val="32"/>
          <w:szCs w:val="32"/>
          <w:highlight w:val="none"/>
          <w:lang w:val="en-US" w:eastAsia="zh-CN" w:bidi="ar-SA"/>
        </w:rPr>
        <w:t>万元，占政府采购支出总额的</w:t>
      </w:r>
      <w:r>
        <w:rPr>
          <w:rFonts w:hint="eastAsia" w:ascii="仿宋_GB2312" w:hAnsi="仿宋_GB2312" w:eastAsia="仿宋_GB2312" w:cs="仿宋_GB2312"/>
          <w:color w:val="auto"/>
          <w:sz w:val="32"/>
          <w:szCs w:val="32"/>
        </w:rPr>
        <w:t>0</w:t>
      </w:r>
      <w:r>
        <w:rPr>
          <w:rFonts w:hint="eastAsia" w:ascii="仿宋_GB2312" w:hAnsi="仿宋_GB2312" w:eastAsia="仿宋_GB2312" w:cs="仿宋_GB2312"/>
          <w:color w:val="auto"/>
          <w:kern w:val="2"/>
          <w:sz w:val="32"/>
          <w:szCs w:val="32"/>
          <w:highlight w:val="none"/>
          <w:lang w:val="en-US" w:eastAsia="zh-CN" w:bidi="ar-SA"/>
        </w:rPr>
        <w:t>%。</w:t>
      </w:r>
    </w:p>
    <w:p w14:paraId="588E8FE7">
      <w:pPr>
        <w:spacing w:line="600" w:lineRule="exact"/>
        <w:ind w:firstLine="643" w:firstLineChars="200"/>
        <w:outlineLvl w:val="2"/>
        <w:rPr>
          <w:rFonts w:hint="eastAsia" w:ascii="Times New Roman" w:hAnsi="Times New Roman" w:eastAsia="楷体_GB2312" w:cs="楷体_GB2312"/>
          <w:b/>
          <w:color w:val="auto"/>
          <w:sz w:val="32"/>
          <w:szCs w:val="32"/>
          <w:highlight w:val="none"/>
        </w:rPr>
      </w:pPr>
      <w:bookmarkStart w:id="48" w:name="_Toc15377224"/>
      <w:r>
        <w:rPr>
          <w:rFonts w:hint="eastAsia" w:ascii="Times New Roman" w:hAnsi="Times New Roman" w:eastAsia="楷体_GB2312" w:cs="楷体_GB2312"/>
          <w:b/>
          <w:color w:val="auto"/>
          <w:sz w:val="32"/>
          <w:szCs w:val="32"/>
          <w:highlight w:val="none"/>
        </w:rPr>
        <w:t>（三）国有资产占有使用情况</w:t>
      </w:r>
      <w:bookmarkEnd w:id="48"/>
    </w:p>
    <w:p w14:paraId="00731A2C">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截至2024年12月31日，</w:t>
      </w:r>
      <w:r>
        <w:rPr>
          <w:rFonts w:hint="eastAsia" w:ascii="仿宋_GB2312" w:hAnsi="仿宋_GB2312" w:eastAsia="仿宋_GB2312" w:cs="仿宋_GB2312"/>
          <w:color w:val="auto"/>
          <w:sz w:val="32"/>
          <w:szCs w:val="32"/>
        </w:rPr>
        <w:t>乐山市金口河区粮食和物资储备中心</w:t>
      </w:r>
      <w:r>
        <w:rPr>
          <w:rFonts w:hint="eastAsia" w:ascii="仿宋_GB2312" w:hAnsi="仿宋_GB2312" w:eastAsia="仿宋_GB2312" w:cs="仿宋_GB2312"/>
          <w:color w:val="auto"/>
          <w:kern w:val="2"/>
          <w:sz w:val="32"/>
          <w:szCs w:val="32"/>
          <w:highlight w:val="none"/>
          <w:lang w:val="en-US" w:eastAsia="zh-CN" w:bidi="ar-SA"/>
        </w:rPr>
        <w:t>共有车辆</w:t>
      </w:r>
      <w:r>
        <w:rPr>
          <w:rFonts w:hint="eastAsia" w:ascii="仿宋_GB2312" w:hAnsi="仿宋_GB2312" w:eastAsia="仿宋_GB2312" w:cs="仿宋_GB2312"/>
          <w:color w:val="auto"/>
          <w:sz w:val="32"/>
          <w:szCs w:val="32"/>
        </w:rPr>
        <w:t>0</w:t>
      </w:r>
      <w:r>
        <w:rPr>
          <w:rFonts w:hint="eastAsia" w:ascii="仿宋_GB2312" w:hAnsi="仿宋_GB2312" w:eastAsia="仿宋_GB2312" w:cs="仿宋_GB2312"/>
          <w:color w:val="auto"/>
          <w:kern w:val="2"/>
          <w:sz w:val="32"/>
          <w:szCs w:val="32"/>
          <w:highlight w:val="none"/>
          <w:lang w:val="en-US" w:eastAsia="zh-CN" w:bidi="ar-SA"/>
        </w:rPr>
        <w:t>辆，其中：主要负责人用车</w:t>
      </w:r>
      <w:r>
        <w:rPr>
          <w:rFonts w:hint="eastAsia" w:ascii="仿宋_GB2312" w:hAnsi="仿宋_GB2312" w:eastAsia="仿宋_GB2312" w:cs="仿宋_GB2312"/>
          <w:color w:val="auto"/>
          <w:sz w:val="32"/>
          <w:szCs w:val="32"/>
        </w:rPr>
        <w:t>0</w:t>
      </w:r>
      <w:r>
        <w:rPr>
          <w:rFonts w:hint="eastAsia" w:ascii="仿宋_GB2312" w:hAnsi="仿宋_GB2312" w:eastAsia="仿宋_GB2312" w:cs="仿宋_GB2312"/>
          <w:color w:val="auto"/>
          <w:kern w:val="2"/>
          <w:sz w:val="32"/>
          <w:szCs w:val="32"/>
          <w:highlight w:val="none"/>
          <w:lang w:val="en-US" w:eastAsia="zh-CN" w:bidi="ar-SA"/>
        </w:rPr>
        <w:t>辆、机要通信用车</w:t>
      </w:r>
      <w:r>
        <w:rPr>
          <w:rFonts w:hint="eastAsia" w:ascii="仿宋_GB2312" w:hAnsi="仿宋_GB2312" w:eastAsia="仿宋_GB2312" w:cs="仿宋_GB2312"/>
          <w:color w:val="auto"/>
          <w:sz w:val="32"/>
          <w:szCs w:val="32"/>
        </w:rPr>
        <w:t>0</w:t>
      </w:r>
      <w:r>
        <w:rPr>
          <w:rFonts w:hint="eastAsia" w:ascii="仿宋_GB2312" w:hAnsi="仿宋_GB2312" w:eastAsia="仿宋_GB2312" w:cs="仿宋_GB2312"/>
          <w:color w:val="auto"/>
          <w:kern w:val="2"/>
          <w:sz w:val="32"/>
          <w:szCs w:val="32"/>
          <w:highlight w:val="none"/>
          <w:lang w:val="en-US" w:eastAsia="zh-CN" w:bidi="ar-SA"/>
        </w:rPr>
        <w:t>辆、应急保障用车</w:t>
      </w:r>
      <w:r>
        <w:rPr>
          <w:rFonts w:hint="eastAsia" w:ascii="仿宋_GB2312" w:hAnsi="仿宋_GB2312" w:eastAsia="仿宋_GB2312" w:cs="仿宋_GB2312"/>
          <w:color w:val="auto"/>
          <w:sz w:val="32"/>
          <w:szCs w:val="32"/>
        </w:rPr>
        <w:t>0</w:t>
      </w:r>
      <w:r>
        <w:rPr>
          <w:rFonts w:hint="eastAsia" w:ascii="仿宋_GB2312" w:hAnsi="仿宋_GB2312" w:eastAsia="仿宋_GB2312" w:cs="仿宋_GB2312"/>
          <w:color w:val="auto"/>
          <w:kern w:val="2"/>
          <w:sz w:val="32"/>
          <w:szCs w:val="32"/>
          <w:highlight w:val="none"/>
          <w:lang w:val="en-US" w:eastAsia="zh-CN" w:bidi="ar-SA"/>
        </w:rPr>
        <w:t>辆、其他用车</w:t>
      </w:r>
      <w:r>
        <w:rPr>
          <w:rFonts w:hint="eastAsia" w:ascii="仿宋_GB2312" w:hAnsi="仿宋_GB2312" w:eastAsia="仿宋_GB2312" w:cs="仿宋_GB2312"/>
          <w:color w:val="auto"/>
          <w:sz w:val="32"/>
          <w:szCs w:val="32"/>
        </w:rPr>
        <w:t>0</w:t>
      </w:r>
      <w:r>
        <w:rPr>
          <w:rFonts w:hint="eastAsia" w:ascii="仿宋_GB2312" w:hAnsi="仿宋_GB2312" w:eastAsia="仿宋_GB2312" w:cs="仿宋_GB2312"/>
          <w:color w:val="auto"/>
          <w:kern w:val="2"/>
          <w:sz w:val="32"/>
          <w:szCs w:val="32"/>
          <w:highlight w:val="none"/>
          <w:lang w:val="en-US" w:eastAsia="zh-CN" w:bidi="ar-SA"/>
        </w:rPr>
        <w:t>辆。单价100万元（含）以上设备（不含车辆）</w:t>
      </w:r>
      <w:r>
        <w:rPr>
          <w:rFonts w:hint="eastAsia" w:ascii="仿宋_GB2312" w:hAnsi="仿宋_GB2312" w:eastAsia="仿宋_GB2312" w:cs="仿宋_GB2312"/>
          <w:color w:val="auto"/>
          <w:sz w:val="32"/>
          <w:szCs w:val="32"/>
        </w:rPr>
        <w:t>0</w:t>
      </w:r>
      <w:r>
        <w:rPr>
          <w:rFonts w:hint="eastAsia" w:ascii="仿宋_GB2312" w:hAnsi="仿宋_GB2312" w:eastAsia="仿宋_GB2312" w:cs="仿宋_GB2312"/>
          <w:color w:val="auto"/>
          <w:kern w:val="2"/>
          <w:sz w:val="32"/>
          <w:szCs w:val="32"/>
          <w:highlight w:val="none"/>
          <w:lang w:val="en-US" w:eastAsia="zh-CN" w:bidi="ar-SA"/>
        </w:rPr>
        <w:t>台（套）</w:t>
      </w:r>
      <w:r>
        <w:rPr>
          <w:rFonts w:hint="eastAsia" w:ascii="Times New Roman" w:hAnsi="Times New Roman" w:eastAsia="仿宋_GB2312" w:cs="仿宋_GB2312"/>
          <w:color w:val="auto"/>
          <w:kern w:val="2"/>
          <w:sz w:val="32"/>
          <w:szCs w:val="32"/>
          <w:highlight w:val="none"/>
          <w:lang w:val="en-US" w:eastAsia="zh-CN" w:bidi="ar-SA"/>
        </w:rPr>
        <w:t>。</w:t>
      </w:r>
    </w:p>
    <w:p w14:paraId="5BA9C84B">
      <w:pPr>
        <w:spacing w:line="600" w:lineRule="exact"/>
        <w:ind w:firstLine="643" w:firstLineChars="200"/>
        <w:outlineLvl w:val="2"/>
        <w:rPr>
          <w:rFonts w:hint="eastAsia" w:ascii="Times New Roman" w:hAnsi="Times New Roman" w:eastAsia="楷体_GB2312" w:cs="楷体_GB2312"/>
          <w:b/>
          <w:color w:val="auto"/>
          <w:sz w:val="32"/>
          <w:szCs w:val="32"/>
          <w:highlight w:val="none"/>
        </w:rPr>
      </w:pPr>
      <w:r>
        <w:rPr>
          <w:rFonts w:hint="eastAsia" w:ascii="Times New Roman" w:hAnsi="Times New Roman" w:eastAsia="楷体_GB2312" w:cs="楷体_GB2312"/>
          <w:b/>
          <w:color w:val="auto"/>
          <w:sz w:val="32"/>
          <w:szCs w:val="32"/>
          <w:highlight w:val="none"/>
        </w:rPr>
        <w:t>（四）预算绩效管理情况</w:t>
      </w:r>
    </w:p>
    <w:p w14:paraId="043C39C8">
      <w:pPr>
        <w:keepNext w:val="0"/>
        <w:keepLines w:val="0"/>
        <w:pageBreakBefore w:val="0"/>
        <w:numPr>
          <w:ilvl w:val="0"/>
          <w:numId w:val="0"/>
        </w:numPr>
        <w:kinsoku/>
        <w:wordWrap/>
        <w:overflowPunct/>
        <w:topLinePunct w:val="0"/>
        <w:autoSpaceDE/>
        <w:autoSpaceDN/>
        <w:bidi w:val="0"/>
        <w:adjustRightInd/>
        <w:snapToGrid/>
        <w:spacing w:line="240" w:lineRule="atLeast"/>
        <w:ind w:firstLine="643" w:firstLineChars="200"/>
        <w:textAlignment w:val="auto"/>
        <w:outlineLvl w:val="2"/>
        <w:rPr>
          <w:rFonts w:hint="eastAsia" w:eastAsia="楷体_GB2312" w:cs="楷体_GB2312"/>
          <w:b/>
          <w:sz w:val="32"/>
          <w:szCs w:val="32"/>
          <w:lang w:val="en-US" w:eastAsia="zh-CN"/>
        </w:rPr>
      </w:pPr>
      <w:r>
        <w:rPr>
          <w:rFonts w:hint="eastAsia" w:eastAsia="楷体_GB2312" w:cs="楷体_GB2312"/>
          <w:b/>
          <w:sz w:val="32"/>
          <w:szCs w:val="32"/>
          <w:lang w:val="en-US" w:eastAsia="zh-CN"/>
        </w:rPr>
        <w:t>1.预决算编制情况</w:t>
      </w:r>
    </w:p>
    <w:p w14:paraId="7C91E5E9">
      <w:pPr>
        <w:keepNext w:val="0"/>
        <w:keepLines w:val="0"/>
        <w:pageBreakBefore w:val="0"/>
        <w:numPr>
          <w:ilvl w:val="0"/>
          <w:numId w:val="0"/>
        </w:numPr>
        <w:kinsoku/>
        <w:wordWrap/>
        <w:overflowPunct/>
        <w:topLinePunct w:val="0"/>
        <w:autoSpaceDE/>
        <w:autoSpaceDN/>
        <w:bidi w:val="0"/>
        <w:adjustRightInd/>
        <w:snapToGrid/>
        <w:spacing w:line="240" w:lineRule="atLeast"/>
        <w:ind w:firstLine="640" w:firstLineChars="200"/>
        <w:textAlignment w:val="auto"/>
        <w:outlineLvl w:val="2"/>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严格按照《中华人民共和国预算法》以及财政单位有关管理的规定及本单位实际工作需要编制和执行年度预算，无随意调整预算情况，各项收支均纳入预算管理。</w:t>
      </w:r>
    </w:p>
    <w:p w14:paraId="6AC997D7">
      <w:pPr>
        <w:keepNext w:val="0"/>
        <w:keepLines w:val="0"/>
        <w:pageBreakBefore w:val="0"/>
        <w:numPr>
          <w:ilvl w:val="0"/>
          <w:numId w:val="0"/>
        </w:numPr>
        <w:kinsoku/>
        <w:wordWrap/>
        <w:overflowPunct/>
        <w:topLinePunct w:val="0"/>
        <w:autoSpaceDE/>
        <w:autoSpaceDN/>
        <w:bidi w:val="0"/>
        <w:adjustRightInd/>
        <w:snapToGrid/>
        <w:spacing w:line="240" w:lineRule="atLeast"/>
        <w:ind w:firstLine="643" w:firstLineChars="200"/>
        <w:textAlignment w:val="auto"/>
        <w:outlineLvl w:val="2"/>
        <w:rPr>
          <w:rFonts w:hint="eastAsia" w:ascii="仿宋" w:hAnsi="仿宋" w:eastAsia="仿宋" w:cs="仿宋"/>
          <w:b/>
          <w:bCs/>
          <w:color w:val="auto"/>
          <w:sz w:val="32"/>
          <w:szCs w:val="32"/>
          <w:shd w:val="clear" w:color="auto" w:fill="FFFFFF"/>
          <w:lang w:eastAsia="zh-CN"/>
        </w:rPr>
      </w:pPr>
      <w:r>
        <w:rPr>
          <w:rFonts w:hint="eastAsia" w:ascii="仿宋" w:hAnsi="仿宋" w:eastAsia="仿宋" w:cs="仿宋"/>
          <w:b/>
          <w:bCs/>
          <w:color w:val="auto"/>
          <w:sz w:val="32"/>
          <w:szCs w:val="32"/>
          <w:shd w:val="clear" w:color="auto" w:fill="FFFFFF"/>
          <w:lang w:val="en-US" w:eastAsia="zh-CN"/>
        </w:rPr>
        <w:t>2.</w:t>
      </w:r>
      <w:r>
        <w:rPr>
          <w:rFonts w:hint="eastAsia" w:ascii="仿宋" w:hAnsi="仿宋" w:eastAsia="仿宋" w:cs="仿宋"/>
          <w:b/>
          <w:bCs/>
          <w:color w:val="auto"/>
          <w:sz w:val="32"/>
          <w:szCs w:val="32"/>
          <w:shd w:val="clear" w:color="auto" w:fill="FFFFFF"/>
          <w:lang w:eastAsia="zh-CN"/>
        </w:rPr>
        <w:t>执行管理情况</w:t>
      </w:r>
    </w:p>
    <w:p w14:paraId="284DC5CE">
      <w:pPr>
        <w:keepNext w:val="0"/>
        <w:keepLines w:val="0"/>
        <w:pageBreakBefore w:val="0"/>
        <w:numPr>
          <w:ilvl w:val="0"/>
          <w:numId w:val="0"/>
        </w:numPr>
        <w:kinsoku/>
        <w:wordWrap/>
        <w:overflowPunct/>
        <w:topLinePunct w:val="0"/>
        <w:autoSpaceDE/>
        <w:autoSpaceDN/>
        <w:bidi w:val="0"/>
        <w:adjustRightInd/>
        <w:snapToGrid/>
        <w:spacing w:line="240" w:lineRule="atLeast"/>
        <w:ind w:firstLine="640" w:firstLineChars="200"/>
        <w:textAlignment w:val="auto"/>
        <w:outlineLvl w:val="2"/>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我</w:t>
      </w:r>
      <w:r>
        <w:rPr>
          <w:rFonts w:hint="eastAsia" w:ascii="仿宋_GB2312" w:hAnsi="仿宋_GB2312" w:eastAsia="仿宋_GB2312" w:cs="仿宋_GB2312"/>
          <w:color w:val="auto"/>
          <w:sz w:val="32"/>
          <w:szCs w:val="32"/>
          <w:shd w:val="clear" w:color="auto" w:fill="FFFFFF"/>
          <w:lang w:val="en-US" w:eastAsia="zh-CN"/>
        </w:rPr>
        <w:t>单位</w:t>
      </w:r>
      <w:r>
        <w:rPr>
          <w:rFonts w:hint="eastAsia" w:ascii="仿宋_GB2312" w:hAnsi="仿宋_GB2312" w:eastAsia="仿宋_GB2312" w:cs="仿宋_GB2312"/>
          <w:color w:val="auto"/>
          <w:sz w:val="32"/>
          <w:szCs w:val="32"/>
          <w:shd w:val="clear" w:color="auto" w:fill="FFFFFF"/>
          <w:lang w:eastAsia="zh-CN"/>
        </w:rPr>
        <w:t>按照上级主管单位下达的年初目标任务，结合单位实际，进一步完善了财务管理制度，使财政收支预算执行得到良好的制度保障和实施效果。</w:t>
      </w:r>
    </w:p>
    <w:p w14:paraId="6748A26B">
      <w:pPr>
        <w:keepNext w:val="0"/>
        <w:keepLines w:val="0"/>
        <w:pageBreakBefore w:val="0"/>
        <w:numPr>
          <w:ilvl w:val="0"/>
          <w:numId w:val="0"/>
        </w:numPr>
        <w:kinsoku/>
        <w:wordWrap/>
        <w:overflowPunct/>
        <w:topLinePunct w:val="0"/>
        <w:autoSpaceDE/>
        <w:autoSpaceDN/>
        <w:bidi w:val="0"/>
        <w:adjustRightInd/>
        <w:snapToGrid/>
        <w:spacing w:line="240" w:lineRule="atLeast"/>
        <w:ind w:firstLine="643" w:firstLineChars="200"/>
        <w:textAlignment w:val="auto"/>
        <w:outlineLvl w:val="2"/>
        <w:rPr>
          <w:rFonts w:hint="eastAsia" w:ascii="仿宋" w:hAnsi="仿宋" w:eastAsia="仿宋" w:cs="仿宋"/>
          <w:b/>
          <w:bCs/>
          <w:color w:val="auto"/>
          <w:sz w:val="32"/>
          <w:szCs w:val="32"/>
          <w:shd w:val="clear" w:color="auto" w:fill="FFFFFF"/>
          <w:lang w:eastAsia="zh-CN"/>
        </w:rPr>
      </w:pPr>
      <w:r>
        <w:rPr>
          <w:rFonts w:hint="eastAsia" w:ascii="仿宋" w:hAnsi="仿宋" w:eastAsia="仿宋" w:cs="仿宋"/>
          <w:b/>
          <w:bCs/>
          <w:color w:val="auto"/>
          <w:sz w:val="32"/>
          <w:szCs w:val="32"/>
          <w:shd w:val="clear" w:color="auto" w:fill="FFFFFF"/>
          <w:lang w:val="en-US" w:eastAsia="zh-CN"/>
        </w:rPr>
        <w:t>3.</w:t>
      </w:r>
      <w:r>
        <w:rPr>
          <w:rFonts w:hint="eastAsia" w:ascii="仿宋" w:hAnsi="仿宋" w:eastAsia="仿宋" w:cs="仿宋"/>
          <w:b/>
          <w:bCs/>
          <w:color w:val="auto"/>
          <w:sz w:val="32"/>
          <w:szCs w:val="32"/>
          <w:shd w:val="clear" w:color="auto" w:fill="FFFFFF"/>
          <w:lang w:eastAsia="zh-CN"/>
        </w:rPr>
        <w:t>综合管理情况</w:t>
      </w:r>
    </w:p>
    <w:p w14:paraId="3DA3112D">
      <w:pPr>
        <w:keepNext w:val="0"/>
        <w:keepLines w:val="0"/>
        <w:pageBreakBefore w:val="0"/>
        <w:numPr>
          <w:ilvl w:val="0"/>
          <w:numId w:val="0"/>
        </w:numPr>
        <w:kinsoku/>
        <w:wordWrap/>
        <w:overflowPunct/>
        <w:topLinePunct w:val="0"/>
        <w:autoSpaceDE/>
        <w:autoSpaceDN/>
        <w:bidi w:val="0"/>
        <w:adjustRightInd/>
        <w:snapToGrid/>
        <w:spacing w:line="240" w:lineRule="atLeast"/>
        <w:ind w:firstLine="640" w:firstLineChars="200"/>
        <w:textAlignment w:val="auto"/>
        <w:outlineLvl w:val="2"/>
        <w:rPr>
          <w:rFonts w:hint="eastAsia" w:ascii="仿宋_GB2312" w:hAnsi="仿宋_GB2312" w:eastAsia="仿宋_GB2312" w:cs="仿宋_GB2312"/>
          <w:color w:val="auto"/>
          <w:sz w:val="32"/>
          <w:szCs w:val="32"/>
          <w:shd w:val="clear" w:color="auto" w:fill="FFFFFF"/>
          <w:lang w:eastAsia="zh-CN"/>
        </w:rPr>
      </w:pPr>
      <w:r>
        <w:rPr>
          <w:rFonts w:hint="eastAsia" w:hAnsi="仿宋_GB2312" w:eastAsia="仿宋_GB2312" w:cs="仿宋_GB2312"/>
          <w:color w:val="auto"/>
          <w:sz w:val="32"/>
          <w:szCs w:val="32"/>
          <w:shd w:val="clear" w:color="auto" w:fill="FFFFFF"/>
          <w:lang w:eastAsia="zh-CN"/>
        </w:rPr>
        <w:t>（</w:t>
      </w:r>
      <w:r>
        <w:rPr>
          <w:rFonts w:hint="eastAsia" w:hAnsi="仿宋_GB2312" w:eastAsia="仿宋_GB2312" w:cs="仿宋_GB2312"/>
          <w:color w:val="auto"/>
          <w:sz w:val="32"/>
          <w:szCs w:val="32"/>
          <w:shd w:val="clear" w:color="auto" w:fill="FFFFFF"/>
          <w:lang w:val="en-US" w:eastAsia="zh-CN"/>
        </w:rPr>
        <w:t>1</w:t>
      </w:r>
      <w:r>
        <w:rPr>
          <w:rFonts w:hint="eastAsia" w:hAnsi="仿宋_GB2312" w:eastAsia="仿宋_GB2312" w:cs="仿宋_GB2312"/>
          <w:color w:val="auto"/>
          <w:sz w:val="32"/>
          <w:szCs w:val="32"/>
          <w:shd w:val="clear" w:color="auto" w:fill="FFFFFF"/>
          <w:lang w:eastAsia="zh-CN"/>
        </w:rPr>
        <w:t>）</w:t>
      </w:r>
      <w:r>
        <w:rPr>
          <w:rFonts w:hint="eastAsia" w:ascii="仿宋_GB2312" w:hAnsi="仿宋_GB2312" w:eastAsia="仿宋_GB2312" w:cs="仿宋_GB2312"/>
          <w:color w:val="auto"/>
          <w:sz w:val="32"/>
          <w:szCs w:val="32"/>
          <w:shd w:val="clear" w:color="auto" w:fill="FFFFFF"/>
          <w:lang w:eastAsia="zh-CN"/>
        </w:rPr>
        <w:t>按照区财政局关于单位预算、决算、政府采购、绩效等信息公开的时间，在规定时间内完成本单位的相关信息公开，做到及时、真实、不弄虚作假。</w:t>
      </w:r>
    </w:p>
    <w:p w14:paraId="17A36B48">
      <w:pPr>
        <w:pStyle w:val="7"/>
        <w:keepNext w:val="0"/>
        <w:keepLines w:val="0"/>
        <w:pageBreakBefore w:val="0"/>
        <w:numPr>
          <w:ilvl w:val="0"/>
          <w:numId w:val="0"/>
        </w:numPr>
        <w:kinsoku/>
        <w:wordWrap/>
        <w:overflowPunct/>
        <w:topLinePunct w:val="0"/>
        <w:autoSpaceDE/>
        <w:autoSpaceDN/>
        <w:bidi w:val="0"/>
        <w:adjustRightInd/>
        <w:snapToGrid/>
        <w:spacing w:line="240" w:lineRule="atLeast"/>
        <w:ind w:firstLine="640" w:firstLineChars="200"/>
        <w:textAlignment w:val="auto"/>
        <w:rPr>
          <w:rFonts w:hint="eastAsia" w:ascii="仿宋_GB2312" w:hAnsi="仿宋_GB2312" w:eastAsia="仿宋_GB2312" w:cs="仿宋_GB2312"/>
          <w:color w:val="auto"/>
          <w:sz w:val="32"/>
          <w:szCs w:val="32"/>
          <w:shd w:val="clear" w:color="auto" w:fill="FFFFFF"/>
          <w:lang w:eastAsia="zh-CN"/>
        </w:rPr>
      </w:pPr>
      <w:r>
        <w:rPr>
          <w:rFonts w:hint="eastAsia" w:hAnsi="仿宋_GB2312" w:eastAsia="仿宋_GB2312" w:cs="仿宋_GB2312"/>
          <w:color w:val="auto"/>
          <w:sz w:val="32"/>
          <w:szCs w:val="32"/>
          <w:shd w:val="clear" w:color="auto" w:fill="FFFFFF"/>
          <w:lang w:eastAsia="zh-CN"/>
        </w:rPr>
        <w:t>（</w:t>
      </w:r>
      <w:r>
        <w:rPr>
          <w:rFonts w:hint="eastAsia" w:hAnsi="仿宋_GB2312" w:eastAsia="仿宋_GB2312" w:cs="仿宋_GB2312"/>
          <w:color w:val="auto"/>
          <w:sz w:val="32"/>
          <w:szCs w:val="32"/>
          <w:shd w:val="clear" w:color="auto" w:fill="FFFFFF"/>
          <w:lang w:val="en-US" w:eastAsia="zh-CN"/>
        </w:rPr>
        <w:t>2</w:t>
      </w:r>
      <w:r>
        <w:rPr>
          <w:rFonts w:hint="eastAsia" w:hAnsi="仿宋_GB2312" w:eastAsia="仿宋_GB2312" w:cs="仿宋_GB2312"/>
          <w:color w:val="auto"/>
          <w:sz w:val="32"/>
          <w:szCs w:val="32"/>
          <w:shd w:val="clear" w:color="auto" w:fill="FFFFFF"/>
          <w:lang w:eastAsia="zh-CN"/>
        </w:rPr>
        <w:t>）</w:t>
      </w:r>
      <w:r>
        <w:rPr>
          <w:rFonts w:hint="eastAsia" w:ascii="仿宋_GB2312" w:hAnsi="仿宋_GB2312" w:eastAsia="仿宋_GB2312" w:cs="仿宋_GB2312"/>
          <w:color w:val="auto"/>
          <w:sz w:val="32"/>
          <w:szCs w:val="32"/>
          <w:shd w:val="clear" w:color="auto" w:fill="FFFFFF"/>
          <w:lang w:eastAsia="zh-CN"/>
        </w:rPr>
        <w:t>我</w:t>
      </w:r>
      <w:r>
        <w:rPr>
          <w:rFonts w:hint="eastAsia" w:hAnsi="仿宋_GB2312" w:eastAsia="仿宋_GB2312" w:cs="仿宋_GB2312"/>
          <w:color w:val="auto"/>
          <w:sz w:val="32"/>
          <w:szCs w:val="32"/>
          <w:shd w:val="clear" w:color="auto" w:fill="FFFFFF"/>
          <w:lang w:val="en-US" w:eastAsia="zh-CN"/>
        </w:rPr>
        <w:t>单位</w:t>
      </w:r>
      <w:r>
        <w:rPr>
          <w:rFonts w:hint="eastAsia" w:ascii="仿宋_GB2312" w:hAnsi="仿宋_GB2312" w:eastAsia="仿宋_GB2312" w:cs="仿宋_GB2312"/>
          <w:color w:val="auto"/>
          <w:sz w:val="32"/>
          <w:szCs w:val="32"/>
          <w:shd w:val="clear" w:color="auto" w:fill="FFFFFF"/>
          <w:lang w:eastAsia="zh-CN"/>
        </w:rPr>
        <w:t>建立健全有效的内控制度，采取定期公开式的财务管理制度，严格执行财务管理制度，强化项目资金管理和使用。同时严格遵守国家、省、市财务管理法律法规，本着勤俭节约原则，管理好用好每笔资金。杜绝违规违法事件的发生。财务活动接受审计、财政、纪检监察等</w:t>
      </w:r>
      <w:r>
        <w:rPr>
          <w:rFonts w:hint="eastAsia" w:hAnsi="仿宋_GB2312" w:eastAsia="仿宋_GB2312" w:cs="仿宋_GB2312"/>
          <w:color w:val="auto"/>
          <w:sz w:val="32"/>
          <w:szCs w:val="32"/>
          <w:shd w:val="clear" w:color="auto" w:fill="FFFFFF"/>
          <w:lang w:eastAsia="zh-CN"/>
        </w:rPr>
        <w:t>单位</w:t>
      </w:r>
      <w:r>
        <w:rPr>
          <w:rFonts w:hint="eastAsia" w:ascii="仿宋_GB2312" w:hAnsi="仿宋_GB2312" w:eastAsia="仿宋_GB2312" w:cs="仿宋_GB2312"/>
          <w:color w:val="auto"/>
          <w:sz w:val="32"/>
          <w:szCs w:val="32"/>
          <w:shd w:val="clear" w:color="auto" w:fill="FFFFFF"/>
          <w:lang w:eastAsia="zh-CN"/>
        </w:rPr>
        <w:t>的监督检查，无反馈问题。</w:t>
      </w:r>
    </w:p>
    <w:p w14:paraId="39941B1B">
      <w:pPr>
        <w:pStyle w:val="7"/>
        <w:keepNext w:val="0"/>
        <w:keepLines w:val="0"/>
        <w:pageBreakBefore w:val="0"/>
        <w:numPr>
          <w:ilvl w:val="0"/>
          <w:numId w:val="0"/>
        </w:numPr>
        <w:kinsoku/>
        <w:wordWrap/>
        <w:overflowPunct/>
        <w:topLinePunct w:val="0"/>
        <w:autoSpaceDE/>
        <w:autoSpaceDN/>
        <w:bidi w:val="0"/>
        <w:adjustRightInd/>
        <w:snapToGrid/>
        <w:spacing w:line="240" w:lineRule="atLeast"/>
        <w:ind w:firstLine="640" w:firstLineChars="200"/>
        <w:textAlignment w:val="auto"/>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w:t>
      </w:r>
      <w:r>
        <w:rPr>
          <w:rFonts w:hint="eastAsia" w:ascii="仿宋_GB2312" w:hAnsi="仿宋_GB2312" w:eastAsia="仿宋_GB2312" w:cs="仿宋_GB2312"/>
          <w:color w:val="auto"/>
          <w:sz w:val="32"/>
          <w:szCs w:val="32"/>
          <w:shd w:val="clear" w:color="auto" w:fill="FFFFFF"/>
          <w:lang w:val="en-US" w:eastAsia="zh-CN"/>
        </w:rPr>
        <w:t>3</w:t>
      </w:r>
      <w:r>
        <w:rPr>
          <w:rFonts w:hint="eastAsia" w:ascii="仿宋_GB2312" w:hAnsi="仿宋_GB2312" w:eastAsia="仿宋_GB2312" w:cs="仿宋_GB2312"/>
          <w:color w:val="auto"/>
          <w:sz w:val="32"/>
          <w:szCs w:val="32"/>
          <w:shd w:val="clear" w:color="auto" w:fill="FFFFFF"/>
          <w:lang w:eastAsia="zh-CN"/>
        </w:rPr>
        <w:t>）</w:t>
      </w:r>
      <w:r>
        <w:rPr>
          <w:rFonts w:hint="eastAsia" w:hAnsi="仿宋_GB2312" w:eastAsia="仿宋_GB2312" w:cs="仿宋_GB2312"/>
          <w:color w:val="auto"/>
          <w:sz w:val="32"/>
          <w:szCs w:val="32"/>
          <w:shd w:val="clear" w:color="auto" w:fill="FFFFFF"/>
          <w:lang w:val="en-US" w:eastAsia="zh-CN"/>
        </w:rPr>
        <w:t>单位</w:t>
      </w:r>
      <w:r>
        <w:rPr>
          <w:rFonts w:hint="eastAsia" w:ascii="仿宋_GB2312" w:hAnsi="仿宋_GB2312" w:eastAsia="仿宋_GB2312" w:cs="仿宋_GB2312"/>
          <w:color w:val="auto"/>
          <w:sz w:val="32"/>
          <w:szCs w:val="32"/>
          <w:shd w:val="clear" w:color="auto" w:fill="FFFFFF"/>
          <w:lang w:eastAsia="zh-CN"/>
        </w:rPr>
        <w:t>内所有资产必须实现资产归口管理和明确使用责任，细化到人，每半年对资产进行清查盘点，对账实不符的情况及时进行处理；严格按照规定处置资产。</w:t>
      </w:r>
    </w:p>
    <w:p w14:paraId="6650A0E4">
      <w:pPr>
        <w:pStyle w:val="7"/>
        <w:keepNext w:val="0"/>
        <w:keepLines w:val="0"/>
        <w:pageBreakBefore w:val="0"/>
        <w:numPr>
          <w:ilvl w:val="0"/>
          <w:numId w:val="0"/>
        </w:numPr>
        <w:kinsoku/>
        <w:wordWrap/>
        <w:overflowPunct/>
        <w:topLinePunct w:val="0"/>
        <w:autoSpaceDE/>
        <w:autoSpaceDN/>
        <w:bidi w:val="0"/>
        <w:adjustRightInd/>
        <w:snapToGrid/>
        <w:spacing w:line="240" w:lineRule="atLeast"/>
        <w:ind w:firstLine="643" w:firstLineChars="200"/>
        <w:textAlignment w:val="auto"/>
        <w:rPr>
          <w:rFonts w:hint="eastAsia" w:ascii="仿宋" w:hAnsi="仿宋" w:eastAsia="仿宋" w:cs="仿宋"/>
          <w:b/>
          <w:bCs/>
          <w:color w:val="auto"/>
          <w:sz w:val="32"/>
          <w:szCs w:val="32"/>
          <w:shd w:val="clear" w:color="auto" w:fill="FFFFFF"/>
          <w:lang w:eastAsia="zh-CN"/>
        </w:rPr>
      </w:pPr>
      <w:r>
        <w:rPr>
          <w:rFonts w:hint="eastAsia" w:ascii="仿宋" w:hAnsi="仿宋" w:eastAsia="仿宋" w:cs="仿宋"/>
          <w:b/>
          <w:bCs/>
          <w:color w:val="auto"/>
          <w:sz w:val="32"/>
          <w:szCs w:val="32"/>
          <w:shd w:val="clear" w:color="auto" w:fill="FFFFFF"/>
          <w:lang w:val="en-US" w:eastAsia="zh-CN"/>
        </w:rPr>
        <w:t>4.</w:t>
      </w:r>
      <w:r>
        <w:rPr>
          <w:rFonts w:hint="eastAsia" w:ascii="仿宋" w:hAnsi="仿宋" w:eastAsia="仿宋" w:cs="仿宋"/>
          <w:b/>
          <w:bCs/>
          <w:color w:val="auto"/>
          <w:sz w:val="32"/>
          <w:szCs w:val="32"/>
          <w:shd w:val="clear" w:color="auto" w:fill="FFFFFF"/>
          <w:lang w:eastAsia="zh-CN"/>
        </w:rPr>
        <w:t>整体绩效</w:t>
      </w:r>
    </w:p>
    <w:p w14:paraId="6FD39BD5">
      <w:pPr>
        <w:pStyle w:val="7"/>
        <w:keepNext w:val="0"/>
        <w:keepLines w:val="0"/>
        <w:pageBreakBefore w:val="0"/>
        <w:numPr>
          <w:ilvl w:val="0"/>
          <w:numId w:val="0"/>
        </w:numPr>
        <w:kinsoku/>
        <w:wordWrap/>
        <w:overflowPunct/>
        <w:topLinePunct w:val="0"/>
        <w:autoSpaceDE/>
        <w:autoSpaceDN/>
        <w:bidi w:val="0"/>
        <w:adjustRightInd/>
        <w:snapToGrid/>
        <w:spacing w:line="240" w:lineRule="atLeast"/>
        <w:ind w:firstLine="643" w:firstLineChars="200"/>
        <w:textAlignment w:val="auto"/>
        <w:rPr>
          <w:rFonts w:hint="eastAsia" w:ascii="仿宋" w:hAnsi="仿宋" w:eastAsia="仿宋" w:cs="仿宋"/>
          <w:b/>
          <w:bCs/>
          <w:color w:val="auto"/>
          <w:sz w:val="32"/>
          <w:szCs w:val="32"/>
          <w:shd w:val="clear" w:color="auto" w:fill="FFFFFF"/>
          <w:lang w:eastAsia="zh-CN"/>
        </w:rPr>
      </w:pPr>
      <w:r>
        <w:rPr>
          <w:rFonts w:hint="eastAsia" w:ascii="仿宋" w:hAnsi="仿宋" w:eastAsia="仿宋" w:cs="仿宋"/>
          <w:b/>
          <w:bCs/>
          <w:color w:val="auto"/>
          <w:sz w:val="32"/>
          <w:szCs w:val="32"/>
          <w:shd w:val="clear" w:color="auto" w:fill="FFFFFF"/>
          <w:lang w:val="en-US" w:eastAsia="zh-CN"/>
        </w:rPr>
        <w:t xml:space="preserve">① </w:t>
      </w:r>
      <w:r>
        <w:rPr>
          <w:rFonts w:hint="eastAsia" w:ascii="仿宋" w:hAnsi="仿宋" w:eastAsia="仿宋" w:cs="仿宋"/>
          <w:b/>
          <w:bCs/>
          <w:color w:val="auto"/>
          <w:sz w:val="32"/>
          <w:szCs w:val="32"/>
          <w:shd w:val="clear" w:color="auto" w:fill="FFFFFF"/>
          <w:lang w:eastAsia="zh-CN"/>
        </w:rPr>
        <w:t>资金绩效分配情况</w:t>
      </w:r>
    </w:p>
    <w:p w14:paraId="73479EBF">
      <w:pPr>
        <w:pStyle w:val="7"/>
        <w:keepNext w:val="0"/>
        <w:keepLines w:val="0"/>
        <w:pageBreakBefore w:val="0"/>
        <w:numPr>
          <w:ilvl w:val="0"/>
          <w:numId w:val="0"/>
        </w:numPr>
        <w:kinsoku/>
        <w:wordWrap/>
        <w:overflowPunct/>
        <w:topLinePunct w:val="0"/>
        <w:autoSpaceDE/>
        <w:autoSpaceDN/>
        <w:bidi w:val="0"/>
        <w:adjustRightInd/>
        <w:snapToGrid/>
        <w:spacing w:line="240" w:lineRule="atLeast"/>
        <w:ind w:firstLine="640" w:firstLineChars="200"/>
        <w:textAlignment w:val="auto"/>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认真贯彻执行《四川省省级财政专项资金绩效分配管理暂行办法》实施绩效分配。资金分配科学合理，分配过程符合相关规定。建立健全专项资金绩效分配机制，实现了财政资金资源有效配置。</w:t>
      </w:r>
    </w:p>
    <w:p w14:paraId="7044FBCD">
      <w:pPr>
        <w:pStyle w:val="7"/>
        <w:keepNext w:val="0"/>
        <w:keepLines w:val="0"/>
        <w:pageBreakBefore w:val="0"/>
        <w:numPr>
          <w:ilvl w:val="0"/>
          <w:numId w:val="0"/>
        </w:numPr>
        <w:kinsoku/>
        <w:wordWrap/>
        <w:overflowPunct/>
        <w:topLinePunct w:val="0"/>
        <w:autoSpaceDE/>
        <w:autoSpaceDN/>
        <w:bidi w:val="0"/>
        <w:adjustRightInd/>
        <w:snapToGrid/>
        <w:spacing w:line="240" w:lineRule="atLeast"/>
        <w:ind w:firstLine="643" w:firstLineChars="200"/>
        <w:textAlignment w:val="auto"/>
        <w:rPr>
          <w:rFonts w:hint="eastAsia" w:ascii="仿宋_GB2312" w:hAnsi="仿宋_GB2312" w:eastAsia="仿宋_GB2312" w:cs="仿宋_GB2312"/>
          <w:color w:val="auto"/>
          <w:sz w:val="32"/>
          <w:szCs w:val="32"/>
          <w:shd w:val="clear" w:color="auto" w:fill="FFFFFF"/>
          <w:lang w:eastAsia="zh-CN"/>
        </w:rPr>
      </w:pPr>
      <w:r>
        <w:rPr>
          <w:rFonts w:hint="eastAsia" w:ascii="仿宋" w:hAnsi="仿宋" w:eastAsia="仿宋" w:cs="仿宋"/>
          <w:b/>
          <w:bCs/>
          <w:color w:val="auto"/>
          <w:sz w:val="32"/>
          <w:szCs w:val="32"/>
          <w:shd w:val="clear" w:color="auto" w:fill="FFFFFF"/>
          <w:lang w:val="en-US" w:eastAsia="zh-CN"/>
        </w:rPr>
        <w:t xml:space="preserve">② </w:t>
      </w:r>
      <w:r>
        <w:rPr>
          <w:rFonts w:hint="eastAsia" w:ascii="仿宋" w:hAnsi="仿宋" w:eastAsia="仿宋" w:cs="仿宋"/>
          <w:b/>
          <w:bCs/>
          <w:color w:val="auto"/>
          <w:sz w:val="32"/>
          <w:szCs w:val="32"/>
          <w:shd w:val="clear" w:color="auto" w:fill="FFFFFF"/>
          <w:lang w:eastAsia="zh-CN"/>
        </w:rPr>
        <w:t>项目资金管理情况</w:t>
      </w:r>
      <w:r>
        <w:rPr>
          <w:rFonts w:hint="eastAsia" w:ascii="仿宋_GB2312" w:hAnsi="仿宋_GB2312" w:eastAsia="仿宋_GB2312" w:cs="仿宋_GB2312"/>
          <w:color w:val="auto"/>
          <w:sz w:val="32"/>
          <w:szCs w:val="32"/>
          <w:shd w:val="clear" w:color="auto" w:fill="FFFFFF"/>
          <w:lang w:eastAsia="zh-CN"/>
        </w:rPr>
        <w:t>加强对项目资金的管理，严格按照资金的使用范围专款专用，支付有依据，严格开支标准。无截留、挤占、挪用专项资金和虚列资金及大额度现金支出现象。</w:t>
      </w:r>
    </w:p>
    <w:p w14:paraId="3DE2CB58">
      <w:pPr>
        <w:pStyle w:val="7"/>
        <w:keepNext w:val="0"/>
        <w:keepLines w:val="0"/>
        <w:pageBreakBefore w:val="0"/>
        <w:numPr>
          <w:ilvl w:val="0"/>
          <w:numId w:val="0"/>
        </w:numPr>
        <w:kinsoku/>
        <w:wordWrap/>
        <w:overflowPunct/>
        <w:topLinePunct w:val="0"/>
        <w:autoSpaceDE/>
        <w:autoSpaceDN/>
        <w:bidi w:val="0"/>
        <w:adjustRightInd/>
        <w:snapToGrid/>
        <w:spacing w:line="240" w:lineRule="atLeast"/>
        <w:ind w:firstLine="643" w:firstLineChars="200"/>
        <w:textAlignment w:val="auto"/>
        <w:rPr>
          <w:rFonts w:hint="eastAsia" w:ascii="仿宋" w:hAnsi="仿宋" w:eastAsia="仿宋" w:cs="仿宋"/>
          <w:b/>
          <w:bCs/>
          <w:color w:val="auto"/>
          <w:sz w:val="32"/>
          <w:szCs w:val="32"/>
          <w:shd w:val="clear" w:color="auto" w:fill="FFFFFF"/>
          <w:lang w:eastAsia="zh-CN"/>
        </w:rPr>
      </w:pPr>
      <w:r>
        <w:rPr>
          <w:rFonts w:hint="eastAsia" w:ascii="仿宋" w:hAnsi="仿宋" w:eastAsia="仿宋" w:cs="仿宋"/>
          <w:b/>
          <w:bCs/>
          <w:color w:val="auto"/>
          <w:sz w:val="32"/>
          <w:szCs w:val="32"/>
          <w:shd w:val="clear" w:color="auto" w:fill="FFFFFF"/>
          <w:lang w:val="en-US" w:eastAsia="zh-CN"/>
        </w:rPr>
        <w:t xml:space="preserve">③ </w:t>
      </w:r>
      <w:r>
        <w:rPr>
          <w:rFonts w:hint="eastAsia" w:ascii="仿宋" w:hAnsi="仿宋" w:eastAsia="仿宋" w:cs="仿宋"/>
          <w:b/>
          <w:bCs/>
          <w:color w:val="auto"/>
          <w:sz w:val="32"/>
          <w:szCs w:val="32"/>
          <w:shd w:val="clear" w:color="auto" w:fill="FFFFFF"/>
          <w:lang w:eastAsia="zh-CN"/>
        </w:rPr>
        <w:t>绩效目标完成情况</w:t>
      </w:r>
    </w:p>
    <w:p w14:paraId="494A3F15">
      <w:pPr>
        <w:pStyle w:val="7"/>
        <w:keepNext w:val="0"/>
        <w:keepLines w:val="0"/>
        <w:pageBreakBefore w:val="0"/>
        <w:numPr>
          <w:ilvl w:val="0"/>
          <w:numId w:val="0"/>
        </w:numPr>
        <w:kinsoku/>
        <w:wordWrap/>
        <w:overflowPunct/>
        <w:topLinePunct w:val="0"/>
        <w:autoSpaceDE/>
        <w:autoSpaceDN/>
        <w:bidi w:val="0"/>
        <w:adjustRightInd/>
        <w:snapToGrid/>
        <w:spacing w:line="240" w:lineRule="atLeast"/>
        <w:ind w:firstLine="643" w:firstLineChars="200"/>
        <w:textAlignment w:val="auto"/>
        <w:rPr>
          <w:rFonts w:hint="eastAsia" w:ascii="仿宋" w:hAnsi="仿宋" w:eastAsia="仿宋" w:cs="仿宋"/>
          <w:b/>
          <w:bCs/>
          <w:color w:val="auto"/>
          <w:sz w:val="32"/>
          <w:szCs w:val="32"/>
          <w:shd w:val="clear" w:color="auto" w:fill="FFFFFF"/>
          <w:lang w:eastAsia="zh-CN"/>
        </w:rPr>
      </w:pPr>
      <w:r>
        <w:rPr>
          <w:rFonts w:hint="eastAsia" w:ascii="仿宋" w:hAnsi="仿宋" w:eastAsia="仿宋" w:cs="仿宋"/>
          <w:b/>
          <w:bCs/>
          <w:color w:val="auto"/>
          <w:sz w:val="32"/>
          <w:szCs w:val="32"/>
          <w:shd w:val="clear" w:color="auto" w:fill="FFFFFF"/>
          <w:lang w:val="en-US" w:eastAsia="zh-CN"/>
        </w:rPr>
        <w:t>5.</w:t>
      </w:r>
      <w:r>
        <w:rPr>
          <w:rFonts w:hint="eastAsia" w:ascii="仿宋" w:hAnsi="仿宋" w:eastAsia="仿宋" w:cs="仿宋"/>
          <w:b/>
          <w:bCs/>
          <w:color w:val="auto"/>
          <w:sz w:val="32"/>
          <w:szCs w:val="32"/>
          <w:shd w:val="clear" w:color="auto" w:fill="FFFFFF"/>
          <w:lang w:eastAsia="zh-CN"/>
        </w:rPr>
        <w:t>改进建议</w:t>
      </w:r>
    </w:p>
    <w:p w14:paraId="0E0D3A44">
      <w:pPr>
        <w:pStyle w:val="7"/>
        <w:keepNext w:val="0"/>
        <w:keepLines w:val="0"/>
        <w:pageBreakBefore w:val="0"/>
        <w:numPr>
          <w:ilvl w:val="0"/>
          <w:numId w:val="0"/>
        </w:numPr>
        <w:kinsoku/>
        <w:wordWrap/>
        <w:overflowPunct/>
        <w:topLinePunct w:val="0"/>
        <w:autoSpaceDE/>
        <w:autoSpaceDN/>
        <w:bidi w:val="0"/>
        <w:adjustRightInd/>
        <w:snapToGrid/>
        <w:spacing w:line="240" w:lineRule="atLeast"/>
        <w:ind w:firstLine="640" w:firstLineChars="200"/>
        <w:textAlignment w:val="auto"/>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val="en-US"/>
        </w:rPr>
        <w:t>202</w:t>
      </w:r>
      <w:r>
        <w:rPr>
          <w:rFonts w:hint="eastAsia" w:ascii="仿宋_GB2312" w:hAnsi="仿宋_GB2312" w:eastAsia="仿宋_GB2312" w:cs="仿宋_GB2312"/>
          <w:color w:val="auto"/>
          <w:sz w:val="32"/>
          <w:szCs w:val="32"/>
          <w:shd w:val="clear" w:color="auto" w:fill="FFFFFF"/>
          <w:lang w:val="en-US" w:eastAsia="zh-CN"/>
        </w:rPr>
        <w:t>4</w:t>
      </w:r>
      <w:r>
        <w:rPr>
          <w:rFonts w:hint="eastAsia" w:ascii="仿宋_GB2312" w:hAnsi="仿宋_GB2312" w:eastAsia="仿宋_GB2312" w:cs="仿宋_GB2312"/>
          <w:color w:val="auto"/>
          <w:sz w:val="32"/>
          <w:szCs w:val="32"/>
          <w:shd w:val="clear" w:color="auto" w:fill="FFFFFF"/>
          <w:lang w:eastAsia="zh-CN"/>
        </w:rPr>
        <w:t>年绩效目标全面完成，取得了一定经济和社会效益。单位财务制度健全，管理规范，得到有效执行。三公经费控制率较好，未超预算。总之，通过加强绩效预算，使财政资金得到有效使用，行政效率得到提高，促进了各项工作顺利开展。</w:t>
      </w:r>
    </w:p>
    <w:p w14:paraId="67E1E262">
      <w:pPr>
        <w:pStyle w:val="7"/>
        <w:keepNext w:val="0"/>
        <w:keepLines w:val="0"/>
        <w:pageBreakBefore w:val="0"/>
        <w:numPr>
          <w:ilvl w:val="0"/>
          <w:numId w:val="0"/>
        </w:numPr>
        <w:kinsoku/>
        <w:wordWrap/>
        <w:overflowPunct/>
        <w:topLinePunct w:val="0"/>
        <w:autoSpaceDE/>
        <w:autoSpaceDN/>
        <w:bidi w:val="0"/>
        <w:adjustRightInd/>
        <w:snapToGrid/>
        <w:spacing w:line="240" w:lineRule="atLeast"/>
        <w:ind w:firstLine="640" w:firstLineChars="200"/>
        <w:textAlignment w:val="auto"/>
        <w:rPr>
          <w:color w:val="auto"/>
        </w:rPr>
      </w:pPr>
      <w:r>
        <w:rPr>
          <w:rFonts w:hint="eastAsia" w:ascii="仿宋" w:hAnsi="仿宋" w:eastAsia="仿宋" w:cs="仿宋"/>
          <w:color w:val="auto"/>
          <w:sz w:val="32"/>
          <w:szCs w:val="32"/>
          <w:shd w:val="clear" w:color="auto" w:fill="FFFFFF"/>
          <w:lang w:eastAsia="zh-CN"/>
        </w:rPr>
        <w:t>今后工作中在预算编制的准确性上下功夫，通过积极组织、认真论证、领导决策等程序，确保做实预算，保证预算与实际需要基本相符；对项目实施有科学规划，依据项目年内可完成进度分年度下达预算指标，当年预算才能全部执行，提高预算管理质量。</w:t>
      </w:r>
    </w:p>
    <w:p w14:paraId="548D026F">
      <w:pPr>
        <w:pStyle w:val="7"/>
        <w:keepNext w:val="0"/>
        <w:keepLines w:val="0"/>
        <w:pageBreakBefore w:val="0"/>
        <w:numPr>
          <w:ilvl w:val="0"/>
          <w:numId w:val="0"/>
        </w:numPr>
        <w:kinsoku/>
        <w:wordWrap/>
        <w:overflowPunct/>
        <w:topLinePunct w:val="0"/>
        <w:autoSpaceDE/>
        <w:autoSpaceDN/>
        <w:bidi w:val="0"/>
        <w:adjustRightInd/>
        <w:snapToGrid/>
        <w:spacing w:line="240" w:lineRule="atLeast"/>
        <w:ind w:firstLine="640" w:firstLineChars="200"/>
        <w:textAlignment w:val="auto"/>
        <w:rPr>
          <w:rFonts w:hint="eastAsia" w:ascii="仿宋_GB2312" w:hAnsi="仿宋_GB2312" w:eastAsia="仿宋_GB2312" w:cs="仿宋_GB2312"/>
          <w:color w:val="auto"/>
          <w:sz w:val="32"/>
          <w:szCs w:val="32"/>
          <w:shd w:val="clear" w:color="auto" w:fill="FFFFFF"/>
          <w:lang w:eastAsia="zh-CN"/>
        </w:rPr>
      </w:pPr>
    </w:p>
    <w:p w14:paraId="5800C542">
      <w:pPr>
        <w:pStyle w:val="7"/>
        <w:keepNext w:val="0"/>
        <w:keepLines w:val="0"/>
        <w:pageBreakBefore w:val="0"/>
        <w:numPr>
          <w:ilvl w:val="0"/>
          <w:numId w:val="0"/>
        </w:numPr>
        <w:kinsoku/>
        <w:wordWrap/>
        <w:overflowPunct/>
        <w:topLinePunct w:val="0"/>
        <w:autoSpaceDE/>
        <w:autoSpaceDN/>
        <w:bidi w:val="0"/>
        <w:adjustRightInd/>
        <w:snapToGrid/>
        <w:spacing w:line="240" w:lineRule="atLeast"/>
        <w:ind w:firstLine="964" w:firstLineChars="300"/>
        <w:textAlignment w:val="auto"/>
        <w:rPr>
          <w:rFonts w:hint="eastAsia" w:ascii="仿宋" w:hAnsi="仿宋" w:eastAsia="仿宋" w:cs="仿宋"/>
          <w:b/>
          <w:bCs/>
          <w:color w:val="auto"/>
          <w:sz w:val="32"/>
          <w:szCs w:val="32"/>
          <w:shd w:val="clear" w:color="auto" w:fill="FFFFFF"/>
          <w:lang w:eastAsia="zh-CN"/>
        </w:rPr>
      </w:pPr>
    </w:p>
    <w:p w14:paraId="75C25625">
      <w:pPr>
        <w:pStyle w:val="7"/>
        <w:keepNext w:val="0"/>
        <w:keepLines w:val="0"/>
        <w:pageBreakBefore w:val="0"/>
        <w:numPr>
          <w:ilvl w:val="0"/>
          <w:numId w:val="0"/>
        </w:numPr>
        <w:kinsoku/>
        <w:wordWrap/>
        <w:overflowPunct/>
        <w:topLinePunct w:val="0"/>
        <w:autoSpaceDE/>
        <w:autoSpaceDN/>
        <w:bidi w:val="0"/>
        <w:adjustRightInd/>
        <w:snapToGrid/>
        <w:spacing w:line="240" w:lineRule="atLeast"/>
        <w:ind w:firstLine="960" w:firstLineChars="300"/>
        <w:textAlignment w:val="auto"/>
        <w:rPr>
          <w:rFonts w:hint="eastAsia" w:ascii="仿宋_GB2312" w:hAnsi="仿宋_GB2312" w:eastAsia="仿宋_GB2312" w:cs="仿宋_GB2312"/>
          <w:color w:val="auto"/>
          <w:sz w:val="32"/>
          <w:szCs w:val="32"/>
          <w:shd w:val="clear" w:color="auto" w:fill="FFFFFF"/>
          <w:lang w:eastAsia="zh-CN"/>
        </w:rPr>
      </w:pPr>
    </w:p>
    <w:p w14:paraId="060CA5EA">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p>
    <w:p w14:paraId="6913C7D0">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p>
    <w:p w14:paraId="172A789E">
      <w:pPr>
        <w:numPr>
          <w:ilvl w:val="0"/>
          <w:numId w:val="0"/>
        </w:numPr>
        <w:spacing w:line="600" w:lineRule="exact"/>
        <w:jc w:val="center"/>
        <w:outlineLvl w:val="0"/>
        <w:rPr>
          <w:rFonts w:hint="eastAsia" w:ascii="Times New Roman" w:hAnsi="Times New Roman" w:eastAsia="黑体"/>
          <w:color w:val="auto"/>
          <w:sz w:val="44"/>
          <w:szCs w:val="44"/>
          <w:highlight w:val="none"/>
        </w:rPr>
      </w:pPr>
      <w:bookmarkStart w:id="49" w:name="_Toc15377225"/>
      <w:bookmarkStart w:id="50" w:name="_Toc15396613"/>
    </w:p>
    <w:p w14:paraId="2E659284">
      <w:pPr>
        <w:numPr>
          <w:ilvl w:val="0"/>
          <w:numId w:val="0"/>
        </w:numPr>
        <w:spacing w:line="600" w:lineRule="exact"/>
        <w:jc w:val="center"/>
        <w:outlineLvl w:val="0"/>
        <w:rPr>
          <w:rFonts w:hint="eastAsia" w:ascii="Times New Roman" w:hAnsi="Times New Roman" w:eastAsia="黑体"/>
          <w:color w:val="auto"/>
          <w:sz w:val="44"/>
          <w:szCs w:val="44"/>
          <w:highlight w:val="none"/>
        </w:rPr>
      </w:pPr>
    </w:p>
    <w:p w14:paraId="0CD27BE0">
      <w:pPr>
        <w:numPr>
          <w:ilvl w:val="0"/>
          <w:numId w:val="0"/>
        </w:numPr>
        <w:spacing w:line="600" w:lineRule="exact"/>
        <w:jc w:val="center"/>
        <w:outlineLvl w:val="0"/>
        <w:rPr>
          <w:rFonts w:hint="eastAsia" w:ascii="Times New Roman" w:hAnsi="Times New Roman" w:eastAsia="黑体"/>
          <w:color w:val="auto"/>
          <w:sz w:val="44"/>
          <w:szCs w:val="44"/>
          <w:highlight w:val="none"/>
        </w:rPr>
      </w:pPr>
    </w:p>
    <w:p w14:paraId="4454CB5F">
      <w:pPr>
        <w:numPr>
          <w:ilvl w:val="0"/>
          <w:numId w:val="0"/>
        </w:numPr>
        <w:spacing w:line="600" w:lineRule="exact"/>
        <w:jc w:val="center"/>
        <w:outlineLvl w:val="0"/>
        <w:rPr>
          <w:rFonts w:hint="eastAsia" w:ascii="Times New Roman" w:hAnsi="Times New Roman" w:eastAsia="黑体"/>
          <w:color w:val="auto"/>
          <w:sz w:val="44"/>
          <w:szCs w:val="44"/>
          <w:highlight w:val="none"/>
        </w:rPr>
      </w:pPr>
    </w:p>
    <w:p w14:paraId="0323ED65">
      <w:pPr>
        <w:numPr>
          <w:ilvl w:val="0"/>
          <w:numId w:val="0"/>
        </w:numPr>
        <w:spacing w:line="600" w:lineRule="exact"/>
        <w:jc w:val="center"/>
        <w:outlineLvl w:val="0"/>
        <w:rPr>
          <w:rFonts w:hint="eastAsia" w:ascii="Times New Roman" w:hAnsi="Times New Roman" w:eastAsia="黑体"/>
          <w:color w:val="auto"/>
          <w:sz w:val="44"/>
          <w:szCs w:val="44"/>
          <w:highlight w:val="none"/>
        </w:rPr>
      </w:pPr>
    </w:p>
    <w:p w14:paraId="016CECE7">
      <w:pPr>
        <w:numPr>
          <w:ilvl w:val="0"/>
          <w:numId w:val="0"/>
        </w:numPr>
        <w:spacing w:line="600" w:lineRule="exact"/>
        <w:jc w:val="both"/>
        <w:outlineLvl w:val="0"/>
        <w:rPr>
          <w:rFonts w:hint="eastAsia" w:ascii="Times New Roman" w:hAnsi="Times New Roman" w:eastAsia="黑体"/>
          <w:color w:val="auto"/>
          <w:sz w:val="44"/>
          <w:szCs w:val="44"/>
          <w:highlight w:val="none"/>
        </w:rPr>
      </w:pPr>
    </w:p>
    <w:p w14:paraId="1E5CD5BD">
      <w:pPr>
        <w:numPr>
          <w:ilvl w:val="0"/>
          <w:numId w:val="0"/>
        </w:numPr>
        <w:spacing w:line="600" w:lineRule="exact"/>
        <w:jc w:val="center"/>
        <w:outlineLvl w:val="0"/>
        <w:rPr>
          <w:rFonts w:hint="eastAsia" w:ascii="Times New Roman" w:hAnsi="Times New Roman" w:eastAsia="黑体"/>
          <w:color w:val="auto"/>
          <w:sz w:val="44"/>
          <w:szCs w:val="44"/>
          <w:highlight w:val="none"/>
        </w:rPr>
      </w:pPr>
      <w:r>
        <w:rPr>
          <w:rFonts w:hint="eastAsia" w:ascii="Times New Roman" w:hAnsi="Times New Roman" w:eastAsia="黑体"/>
          <w:color w:val="auto"/>
          <w:sz w:val="44"/>
          <w:szCs w:val="44"/>
          <w:highlight w:val="none"/>
        </w:rPr>
        <w:t>第</w:t>
      </w:r>
      <w:r>
        <w:rPr>
          <w:rFonts w:hint="eastAsia" w:eastAsia="黑体"/>
          <w:color w:val="auto"/>
          <w:sz w:val="44"/>
          <w:szCs w:val="44"/>
          <w:highlight w:val="none"/>
          <w:lang w:eastAsia="zh-CN"/>
        </w:rPr>
        <w:t>三</w:t>
      </w:r>
      <w:r>
        <w:rPr>
          <w:rFonts w:hint="eastAsia" w:ascii="Times New Roman" w:hAnsi="Times New Roman" w:eastAsia="黑体"/>
          <w:color w:val="auto"/>
          <w:sz w:val="44"/>
          <w:szCs w:val="44"/>
          <w:highlight w:val="none"/>
        </w:rPr>
        <w:t>部分</w:t>
      </w:r>
      <w:r>
        <w:rPr>
          <w:rFonts w:hint="eastAsia" w:ascii="Times New Roman" w:hAnsi="Times New Roman" w:eastAsia="黑体"/>
          <w:color w:val="auto"/>
          <w:sz w:val="44"/>
          <w:szCs w:val="44"/>
          <w:highlight w:val="none"/>
          <w:lang w:val="en-US" w:eastAsia="zh-CN"/>
        </w:rPr>
        <w:t xml:space="preserve"> </w:t>
      </w:r>
      <w:r>
        <w:rPr>
          <w:rFonts w:hint="eastAsia" w:eastAsia="黑体"/>
          <w:color w:val="auto"/>
          <w:sz w:val="44"/>
          <w:szCs w:val="44"/>
          <w:highlight w:val="none"/>
          <w:lang w:val="en-US" w:eastAsia="zh-CN"/>
        </w:rPr>
        <w:t xml:space="preserve"> </w:t>
      </w:r>
      <w:r>
        <w:rPr>
          <w:rFonts w:hint="eastAsia" w:ascii="Times New Roman" w:hAnsi="Times New Roman" w:eastAsia="黑体"/>
          <w:color w:val="auto"/>
          <w:sz w:val="44"/>
          <w:szCs w:val="44"/>
          <w:highlight w:val="none"/>
        </w:rPr>
        <w:t>名词解释</w:t>
      </w:r>
      <w:bookmarkEnd w:id="49"/>
      <w:bookmarkEnd w:id="50"/>
    </w:p>
    <w:p w14:paraId="22E91175">
      <w:pPr>
        <w:spacing w:line="600" w:lineRule="exact"/>
        <w:jc w:val="left"/>
        <w:rPr>
          <w:rFonts w:ascii="Times New Roman" w:hAnsi="Times New Roman"/>
          <w:b/>
          <w:color w:val="auto"/>
          <w:sz w:val="44"/>
          <w:szCs w:val="44"/>
          <w:highlight w:val="none"/>
        </w:rPr>
      </w:pPr>
    </w:p>
    <w:p w14:paraId="79D11C17">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1.财政拨款收入：指单位从同级财政</w:t>
      </w:r>
      <w:r>
        <w:rPr>
          <w:rFonts w:hint="eastAsia" w:eastAsia="仿宋_GB2312" w:cs="仿宋_GB2312"/>
          <w:color w:val="auto"/>
          <w:kern w:val="2"/>
          <w:sz w:val="32"/>
          <w:szCs w:val="32"/>
          <w:highlight w:val="none"/>
          <w:lang w:val="en-US" w:eastAsia="zh-CN" w:bidi="ar-SA"/>
        </w:rPr>
        <w:t>单位</w:t>
      </w:r>
      <w:r>
        <w:rPr>
          <w:rFonts w:hint="eastAsia" w:ascii="Times New Roman" w:hAnsi="Times New Roman" w:eastAsia="仿宋_GB2312" w:cs="仿宋_GB2312"/>
          <w:color w:val="auto"/>
          <w:kern w:val="2"/>
          <w:sz w:val="32"/>
          <w:szCs w:val="32"/>
          <w:highlight w:val="none"/>
          <w:lang w:val="en-US" w:eastAsia="zh-CN" w:bidi="ar-SA"/>
        </w:rPr>
        <w:t>取得的财政预算资金。</w:t>
      </w:r>
    </w:p>
    <w:p w14:paraId="4DB49599">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2.事业收入：指事业单位开展专业业务活动及辅助活动取得的收入。</w:t>
      </w:r>
    </w:p>
    <w:p w14:paraId="138D544E">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3.经营收入：指事业单位在专业业务活动及其辅助活动之外开展非独立核算经营活动取得的收入。</w:t>
      </w:r>
    </w:p>
    <w:p w14:paraId="0CEBF8C0">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4.其他收入：指单位取得的除上述收入以外的各项收入。</w:t>
      </w:r>
    </w:p>
    <w:p w14:paraId="177B2C23">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 xml:space="preserve">5.使用非财政拨款结余（含专用结余）：指事业单位使用以前年度积累的非财政拨款结余弥补当年收支差额的金额。 </w:t>
      </w:r>
    </w:p>
    <w:p w14:paraId="5C46ADD1">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 xml:space="preserve">6.年初结转和结余：指以前年度尚未完成、结转到本年按有关规定继续使用的资金。 </w:t>
      </w:r>
    </w:p>
    <w:p w14:paraId="5EB7C509">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7.结余分配：指事业单位按照会计制度规定缴纳的所得税、提取的专用结余以及转入非财政拨款结余的金额等。</w:t>
      </w:r>
    </w:p>
    <w:p w14:paraId="70598893">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8.年末结转和结余：指单位按有关规定结转到下年或以后年度继续使用的资金。</w:t>
      </w:r>
    </w:p>
    <w:p w14:paraId="4615D2EC">
      <w:pPr>
        <w:spacing w:line="600" w:lineRule="exact"/>
        <w:ind w:firstLine="640"/>
        <w:rPr>
          <w:rFonts w:hint="default" w:ascii="Times New Roman" w:hAnsi="Times New Roman"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9</w:t>
      </w:r>
      <w:r>
        <w:rPr>
          <w:rFonts w:hint="eastAsia" w:ascii="Times New Roman" w:hAnsi="Times New Roman" w:eastAsia="仿宋_GB2312" w:cs="仿宋_GB2312"/>
          <w:color w:val="auto"/>
          <w:kern w:val="2"/>
          <w:sz w:val="32"/>
          <w:szCs w:val="32"/>
          <w:highlight w:val="none"/>
          <w:lang w:val="en-US" w:eastAsia="zh-CN" w:bidi="ar-SA"/>
        </w:rPr>
        <w:t>.社会保障和就业：</w:t>
      </w:r>
      <w:r>
        <w:rPr>
          <w:rFonts w:hint="eastAsia" w:ascii="仿宋" w:hAnsi="仿宋" w:eastAsia="仿宋" w:cs="仿宋"/>
          <w:sz w:val="32"/>
          <w:szCs w:val="32"/>
          <w:lang w:eastAsia="zh-CN"/>
        </w:rPr>
        <w:t>指机关事业单位实施养老保险制度由单位缴纳的基本养老保险支出、</w:t>
      </w:r>
      <w:r>
        <w:rPr>
          <w:rFonts w:hint="eastAsia" w:ascii="仿宋" w:hAnsi="仿宋" w:eastAsia="仿宋" w:cs="仿宋"/>
          <w:sz w:val="32"/>
          <w:szCs w:val="32"/>
          <w:lang w:val="en-US" w:eastAsia="zh-CN"/>
        </w:rPr>
        <w:t>职业年金支出、退休人员春节慰问金支出、残疾人就业保障金支出、失业和工伤保险支出。</w:t>
      </w:r>
    </w:p>
    <w:p w14:paraId="739D26BF">
      <w:pPr>
        <w:spacing w:line="600" w:lineRule="exact"/>
        <w:ind w:firstLine="640" w:firstLineChars="200"/>
        <w:rPr>
          <w:rFonts w:hint="default"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10.卫生健康</w:t>
      </w:r>
      <w:r>
        <w:rPr>
          <w:rFonts w:hint="eastAsia" w:eastAsia="仿宋_GB2312" w:cs="仿宋_GB2312"/>
          <w:color w:val="auto"/>
          <w:kern w:val="2"/>
          <w:sz w:val="32"/>
          <w:szCs w:val="32"/>
          <w:highlight w:val="none"/>
          <w:lang w:val="en-US" w:eastAsia="zh-CN" w:bidi="ar-SA"/>
        </w:rPr>
        <w:t>支出：指行政单位医疗保险支出、公务员医疗补助支出。</w:t>
      </w:r>
    </w:p>
    <w:p w14:paraId="00E358EB">
      <w:pPr>
        <w:spacing w:line="600" w:lineRule="exact"/>
        <w:ind w:firstLine="640" w:firstLineChars="200"/>
        <w:rPr>
          <w:rFonts w:hint="default"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11.住房保障</w:t>
      </w:r>
      <w:r>
        <w:rPr>
          <w:rFonts w:hint="eastAsia" w:eastAsia="仿宋_GB2312" w:cs="仿宋_GB2312"/>
          <w:color w:val="auto"/>
          <w:kern w:val="2"/>
          <w:sz w:val="32"/>
          <w:szCs w:val="32"/>
          <w:highlight w:val="none"/>
          <w:lang w:val="en-US" w:eastAsia="zh-CN" w:bidi="ar-SA"/>
        </w:rPr>
        <w:t>支出</w:t>
      </w:r>
      <w:r>
        <w:rPr>
          <w:rFonts w:hint="eastAsia" w:ascii="Times New Roman" w:hAnsi="Times New Roman" w:eastAsia="仿宋_GB2312" w:cs="仿宋_GB2312"/>
          <w:color w:val="auto"/>
          <w:kern w:val="2"/>
          <w:sz w:val="32"/>
          <w:szCs w:val="32"/>
          <w:highlight w:val="none"/>
          <w:lang w:val="en-US" w:eastAsia="zh-CN" w:bidi="ar-SA"/>
        </w:rPr>
        <w:t>：指住房公积金支出</w:t>
      </w:r>
    </w:p>
    <w:p w14:paraId="070A7C88">
      <w:pPr>
        <w:spacing w:line="600" w:lineRule="exact"/>
        <w:ind w:firstLine="640" w:firstLineChars="200"/>
        <w:rPr>
          <w:rFonts w:hint="default"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12.粮油和物质储备</w:t>
      </w:r>
      <w:r>
        <w:rPr>
          <w:rFonts w:hint="eastAsia" w:eastAsia="仿宋_GB2312" w:cs="仿宋_GB2312"/>
          <w:color w:val="auto"/>
          <w:kern w:val="2"/>
          <w:sz w:val="32"/>
          <w:szCs w:val="32"/>
          <w:highlight w:val="none"/>
          <w:lang w:val="en-US" w:eastAsia="zh-CN" w:bidi="ar-SA"/>
        </w:rPr>
        <w:t>支出：指工资性支出、伙食补助费、日常公用经费、座机电话费、公务交通补贴、</w:t>
      </w:r>
      <w:r>
        <w:rPr>
          <w:rFonts w:hint="eastAsia" w:ascii="Times New Roman" w:hAnsi="Times New Roman" w:eastAsia="仿宋_GB2312" w:cs="仿宋_GB2312"/>
          <w:color w:val="auto"/>
          <w:kern w:val="2"/>
          <w:sz w:val="32"/>
          <w:szCs w:val="32"/>
          <w:highlight w:val="none"/>
          <w:lang w:val="en-US" w:eastAsia="zh-CN" w:bidi="ar-SA"/>
        </w:rPr>
        <w:t>公务员基础绩效奖、</w:t>
      </w:r>
      <w:r>
        <w:rPr>
          <w:rFonts w:hint="eastAsia" w:eastAsia="仿宋_GB2312" w:cs="仿宋_GB2312"/>
          <w:color w:val="auto"/>
          <w:kern w:val="2"/>
          <w:sz w:val="32"/>
          <w:szCs w:val="32"/>
          <w:highlight w:val="none"/>
          <w:lang w:val="en-US" w:eastAsia="zh-CN" w:bidi="ar-SA"/>
        </w:rPr>
        <w:t>公务员年终考核奖、独子费（行政）支出。</w:t>
      </w:r>
    </w:p>
    <w:p w14:paraId="09255DC1">
      <w:pPr>
        <w:spacing w:line="600" w:lineRule="exact"/>
        <w:ind w:firstLine="640" w:firstLineChars="200"/>
        <w:rPr>
          <w:rFonts w:hint="eastAsia" w:ascii="Times New Roman" w:hAnsi="Times New Roman"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13</w:t>
      </w:r>
      <w:r>
        <w:rPr>
          <w:rFonts w:hint="eastAsia" w:ascii="Times New Roman" w:hAnsi="Times New Roman" w:eastAsia="仿宋_GB2312" w:cs="仿宋_GB2312"/>
          <w:color w:val="auto"/>
          <w:kern w:val="2"/>
          <w:sz w:val="32"/>
          <w:szCs w:val="32"/>
          <w:highlight w:val="none"/>
          <w:lang w:val="en-US" w:eastAsia="zh-CN" w:bidi="ar-SA"/>
        </w:rPr>
        <w:t>.基本支出：指为保障机构正常运转、完成日常工作任务而发生的人员支出和公用支出。</w:t>
      </w:r>
    </w:p>
    <w:p w14:paraId="060D747E">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14</w:t>
      </w:r>
      <w:r>
        <w:rPr>
          <w:rFonts w:hint="eastAsia" w:ascii="Times New Roman" w:hAnsi="Times New Roman" w:eastAsia="仿宋_GB2312" w:cs="仿宋_GB2312"/>
          <w:color w:val="auto"/>
          <w:kern w:val="2"/>
          <w:sz w:val="32"/>
          <w:szCs w:val="32"/>
          <w:highlight w:val="none"/>
          <w:lang w:val="en-US" w:eastAsia="zh-CN" w:bidi="ar-SA"/>
        </w:rPr>
        <w:t xml:space="preserve">.项目支出：指在基本支出之外为完成特定行政任务和事业发展目标所发生的支出。 </w:t>
      </w:r>
    </w:p>
    <w:p w14:paraId="3B6D992E">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15</w:t>
      </w:r>
      <w:r>
        <w:rPr>
          <w:rFonts w:hint="eastAsia" w:ascii="Times New Roman" w:hAnsi="Times New Roman" w:eastAsia="仿宋_GB2312" w:cs="仿宋_GB2312"/>
          <w:color w:val="auto"/>
          <w:kern w:val="2"/>
          <w:sz w:val="32"/>
          <w:szCs w:val="32"/>
          <w:highlight w:val="none"/>
          <w:lang w:val="en-US" w:eastAsia="zh-CN" w:bidi="ar-SA"/>
        </w:rPr>
        <w:t>.</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三公</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经费：指</w:t>
      </w:r>
      <w:r>
        <w:rPr>
          <w:rFonts w:hint="eastAsia" w:eastAsia="仿宋_GB2312" w:cs="仿宋_GB2312"/>
          <w:color w:val="auto"/>
          <w:kern w:val="2"/>
          <w:sz w:val="32"/>
          <w:szCs w:val="32"/>
          <w:highlight w:val="none"/>
          <w:lang w:val="en-US" w:eastAsia="zh-CN" w:bidi="ar-SA"/>
        </w:rPr>
        <w:t>单位</w:t>
      </w:r>
      <w:r>
        <w:rPr>
          <w:rFonts w:hint="eastAsia" w:ascii="Times New Roman" w:hAnsi="Times New Roman" w:eastAsia="仿宋_GB2312" w:cs="仿宋_GB2312"/>
          <w:color w:val="auto"/>
          <w:kern w:val="2"/>
          <w:sz w:val="32"/>
          <w:szCs w:val="32"/>
          <w:highlight w:val="none"/>
          <w:lang w:val="en-US" w:eastAsia="zh-CN" w:bidi="ar-SA"/>
        </w:rPr>
        <w:t>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14:paraId="5697A5A1">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16</w:t>
      </w:r>
      <w:r>
        <w:rPr>
          <w:rFonts w:hint="eastAsia" w:ascii="Times New Roman" w:hAnsi="Times New Roman" w:eastAsia="仿宋_GB2312" w:cs="仿宋_GB2312"/>
          <w:color w:val="auto"/>
          <w:kern w:val="2"/>
          <w:sz w:val="32"/>
          <w:szCs w:val="32"/>
          <w:highlight w:val="none"/>
          <w:lang w:val="en-US" w:eastAsia="zh-CN" w:bidi="ar-SA"/>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6FDAE3A8">
      <w:pPr>
        <w:spacing w:line="600" w:lineRule="exact"/>
        <w:jc w:val="both"/>
        <w:rPr>
          <w:rFonts w:hint="eastAsia" w:ascii="Times New Roman" w:hAnsi="Times New Roman" w:eastAsia="黑体"/>
          <w:color w:val="auto"/>
          <w:sz w:val="44"/>
          <w:szCs w:val="44"/>
          <w:highlight w:val="none"/>
        </w:rPr>
      </w:pPr>
      <w:bookmarkStart w:id="51" w:name="_Toc15396614"/>
      <w:bookmarkStart w:id="52" w:name="_Toc15377226"/>
    </w:p>
    <w:p w14:paraId="7C573687">
      <w:pPr>
        <w:spacing w:line="600" w:lineRule="exact"/>
        <w:jc w:val="center"/>
        <w:rPr>
          <w:rStyle w:val="30"/>
          <w:rFonts w:hint="eastAsia" w:ascii="Times New Roman" w:hAnsi="Times New Roman" w:eastAsia="黑体"/>
          <w:b w:val="0"/>
          <w:color w:val="auto"/>
          <w:highlight w:val="none"/>
          <w:lang w:eastAsia="zh-CN"/>
        </w:rPr>
      </w:pPr>
      <w:r>
        <w:rPr>
          <w:rFonts w:hint="eastAsia" w:ascii="Times New Roman" w:hAnsi="Times New Roman" w:eastAsia="黑体"/>
          <w:color w:val="auto"/>
          <w:sz w:val="44"/>
          <w:szCs w:val="44"/>
          <w:highlight w:val="none"/>
        </w:rPr>
        <w:t>第四部分</w:t>
      </w:r>
      <w:r>
        <w:rPr>
          <w:rFonts w:hint="eastAsia" w:ascii="Times New Roman" w:hAnsi="Times New Roman" w:eastAsia="黑体"/>
          <w:color w:val="auto"/>
          <w:sz w:val="44"/>
          <w:szCs w:val="44"/>
          <w:highlight w:val="none"/>
          <w:lang w:val="en-US" w:eastAsia="zh-CN"/>
        </w:rPr>
        <w:t xml:space="preserve"> </w:t>
      </w:r>
      <w:r>
        <w:rPr>
          <w:rFonts w:hint="eastAsia" w:ascii="Times New Roman" w:hAnsi="Times New Roman" w:eastAsia="黑体"/>
          <w:color w:val="auto"/>
          <w:sz w:val="44"/>
          <w:szCs w:val="44"/>
          <w:highlight w:val="none"/>
        </w:rPr>
        <w:t xml:space="preserve"> 附件</w:t>
      </w:r>
      <w:bookmarkEnd w:id="51"/>
    </w:p>
    <w:p w14:paraId="488BA3BF">
      <w:pPr>
        <w:keepNext w:val="0"/>
        <w:keepLines w:val="0"/>
        <w:pageBreakBefore w:val="0"/>
        <w:kinsoku/>
        <w:wordWrap/>
        <w:overflowPunct/>
        <w:topLinePunct w:val="0"/>
        <w:autoSpaceDE/>
        <w:autoSpaceDN/>
        <w:bidi w:val="0"/>
        <w:spacing w:line="572" w:lineRule="exact"/>
        <w:jc w:val="left"/>
        <w:textAlignment w:val="auto"/>
        <w:outlineLvl w:val="0"/>
        <w:rPr>
          <w:rFonts w:hint="eastAsia" w:ascii="Times New Roman" w:hAnsi="Times New Roman" w:eastAsia="黑体" w:cs="黑体"/>
          <w:color w:val="auto"/>
          <w:sz w:val="32"/>
          <w:szCs w:val="32"/>
          <w:highlight w:val="none"/>
        </w:rPr>
      </w:pPr>
    </w:p>
    <w:p w14:paraId="6752BFFB">
      <w:pPr>
        <w:keepNext w:val="0"/>
        <w:keepLines w:val="0"/>
        <w:pageBreakBefore w:val="0"/>
        <w:kinsoku/>
        <w:wordWrap/>
        <w:overflowPunct/>
        <w:topLinePunct w:val="0"/>
        <w:autoSpaceDE/>
        <w:autoSpaceDN/>
        <w:bidi w:val="0"/>
        <w:spacing w:line="572" w:lineRule="exact"/>
        <w:jc w:val="left"/>
        <w:textAlignment w:val="auto"/>
        <w:outlineLvl w:val="0"/>
        <w:rPr>
          <w:rFonts w:hint="eastAsia" w:ascii="Times New Roman" w:hAnsi="Times New Roman" w:eastAsia="黑体" w:cs="方正小标宋简体"/>
          <w:color w:val="auto"/>
          <w:sz w:val="44"/>
          <w:szCs w:val="44"/>
          <w:highlight w:val="none"/>
          <w:lang w:val="en-US" w:eastAsia="zh-CN"/>
        </w:rPr>
      </w:pPr>
      <w:r>
        <w:rPr>
          <w:rFonts w:hint="eastAsia" w:ascii="Times New Roman" w:hAnsi="Times New Roman" w:eastAsia="黑体" w:cs="黑体"/>
          <w:color w:val="auto"/>
          <w:sz w:val="32"/>
          <w:szCs w:val="32"/>
          <w:highlight w:val="none"/>
        </w:rPr>
        <w:t>附件</w:t>
      </w:r>
      <w:r>
        <w:rPr>
          <w:rFonts w:hint="eastAsia" w:ascii="Times New Roman" w:hAnsi="Times New Roman" w:eastAsia="黑体" w:cs="黑体"/>
          <w:color w:val="auto"/>
          <w:sz w:val="32"/>
          <w:szCs w:val="32"/>
          <w:highlight w:val="none"/>
          <w:lang w:val="en-US" w:eastAsia="zh-CN"/>
        </w:rPr>
        <w:t>1</w:t>
      </w:r>
    </w:p>
    <w:p w14:paraId="596E841B">
      <w:pPr>
        <w:keepNext w:val="0"/>
        <w:keepLines w:val="0"/>
        <w:pageBreakBefore w:val="0"/>
        <w:widowControl/>
        <w:kinsoku/>
        <w:wordWrap/>
        <w:overflowPunct/>
        <w:topLinePunct w:val="0"/>
        <w:autoSpaceDE/>
        <w:autoSpaceDN/>
        <w:bidi w:val="0"/>
        <w:spacing w:line="578" w:lineRule="exact"/>
        <w:contextualSpacing/>
        <w:jc w:val="center"/>
        <w:textAlignment w:val="auto"/>
        <w:outlineLvl w:val="9"/>
        <w:rPr>
          <w:rFonts w:hint="default" w:ascii="Times New Roman" w:hAnsi="Times New Roman" w:eastAsia="方正小标宋简体" w:cs="Times New Roman"/>
          <w:b w:val="0"/>
          <w:bCs/>
          <w:color w:val="auto"/>
          <w:sz w:val="44"/>
          <w:szCs w:val="44"/>
          <w:highlight w:val="none"/>
          <w:shd w:val="clear" w:color="auto" w:fill="FFFFFF"/>
        </w:rPr>
      </w:pPr>
    </w:p>
    <w:p w14:paraId="00BA2CB0">
      <w:pPr>
        <w:keepNext w:val="0"/>
        <w:keepLines w:val="0"/>
        <w:pageBreakBefore w:val="0"/>
        <w:widowControl/>
        <w:kinsoku/>
        <w:wordWrap/>
        <w:overflowPunct/>
        <w:topLinePunct w:val="0"/>
        <w:autoSpaceDE/>
        <w:autoSpaceDN/>
        <w:bidi w:val="0"/>
        <w:spacing w:line="578" w:lineRule="exact"/>
        <w:contextualSpacing/>
        <w:jc w:val="center"/>
        <w:textAlignment w:val="auto"/>
        <w:outlineLvl w:val="9"/>
        <w:rPr>
          <w:rFonts w:hint="default" w:ascii="Times New Roman" w:hAnsi="Times New Roman" w:eastAsia="方正小标宋简体" w:cs="Times New Roman"/>
          <w:b w:val="0"/>
          <w:bCs/>
          <w:color w:val="auto"/>
          <w:sz w:val="44"/>
          <w:szCs w:val="44"/>
          <w:highlight w:val="none"/>
          <w:shd w:val="clear" w:color="auto" w:fill="FFFFFF"/>
        </w:rPr>
      </w:pPr>
      <w:r>
        <w:rPr>
          <w:rFonts w:hint="eastAsia" w:eastAsia="方正小标宋简体" w:cs="Times New Roman"/>
          <w:b w:val="0"/>
          <w:bCs/>
          <w:color w:val="auto"/>
          <w:sz w:val="44"/>
          <w:szCs w:val="44"/>
          <w:highlight w:val="none"/>
          <w:shd w:val="clear" w:color="auto" w:fill="FFFFFF"/>
          <w:lang w:eastAsia="zh-CN"/>
        </w:rPr>
        <w:t>单位</w:t>
      </w:r>
      <w:r>
        <w:rPr>
          <w:rFonts w:hint="default" w:ascii="Times New Roman" w:hAnsi="Times New Roman" w:eastAsia="方正小标宋简体" w:cs="Times New Roman"/>
          <w:b w:val="0"/>
          <w:bCs/>
          <w:color w:val="auto"/>
          <w:sz w:val="44"/>
          <w:szCs w:val="44"/>
          <w:highlight w:val="none"/>
          <w:shd w:val="clear" w:color="auto" w:fill="FFFFFF"/>
          <w:lang w:eastAsia="zh-CN"/>
        </w:rPr>
        <w:t>预算</w:t>
      </w:r>
      <w:r>
        <w:rPr>
          <w:rFonts w:hint="default" w:ascii="Times New Roman" w:hAnsi="Times New Roman" w:eastAsia="方正小标宋简体" w:cs="Times New Roman"/>
          <w:b w:val="0"/>
          <w:bCs/>
          <w:color w:val="auto"/>
          <w:sz w:val="44"/>
          <w:szCs w:val="44"/>
          <w:highlight w:val="none"/>
          <w:shd w:val="clear" w:color="auto" w:fill="FFFFFF"/>
        </w:rPr>
        <w:t>绩效</w:t>
      </w:r>
      <w:r>
        <w:rPr>
          <w:rFonts w:hint="eastAsia" w:ascii="Times New Roman" w:hAnsi="Times New Roman" w:eastAsia="方正小标宋简体" w:cs="Times New Roman"/>
          <w:b w:val="0"/>
          <w:bCs/>
          <w:color w:val="auto"/>
          <w:sz w:val="44"/>
          <w:szCs w:val="44"/>
          <w:highlight w:val="none"/>
          <w:shd w:val="clear" w:color="auto" w:fill="FFFFFF"/>
          <w:lang w:eastAsia="zh-CN"/>
        </w:rPr>
        <w:t>评价</w:t>
      </w:r>
      <w:r>
        <w:rPr>
          <w:rFonts w:hint="default" w:ascii="Times New Roman" w:hAnsi="Times New Roman" w:eastAsia="方正小标宋简体" w:cs="Times New Roman"/>
          <w:b w:val="0"/>
          <w:bCs/>
          <w:color w:val="auto"/>
          <w:sz w:val="44"/>
          <w:szCs w:val="44"/>
          <w:highlight w:val="none"/>
          <w:shd w:val="clear" w:color="auto" w:fill="FFFFFF"/>
        </w:rPr>
        <w:t>报告</w:t>
      </w:r>
    </w:p>
    <w:p w14:paraId="58CCCE2D">
      <w:pPr>
        <w:keepNext w:val="0"/>
        <w:keepLines w:val="0"/>
        <w:pageBreakBefore w:val="0"/>
        <w:widowControl/>
        <w:kinsoku/>
        <w:wordWrap/>
        <w:overflowPunct/>
        <w:topLinePunct w:val="0"/>
        <w:autoSpaceDE/>
        <w:autoSpaceDN/>
        <w:bidi w:val="0"/>
        <w:spacing w:line="578" w:lineRule="exact"/>
        <w:contextualSpacing/>
        <w:jc w:val="center"/>
        <w:textAlignment w:val="auto"/>
        <w:outlineLvl w:val="9"/>
        <w:rPr>
          <w:rFonts w:hint="default" w:ascii="Times New Roman" w:hAnsi="Times New Roman" w:eastAsia="仿宋_GB2312" w:cs="Times New Roman"/>
          <w:color w:val="auto"/>
          <w:sz w:val="32"/>
          <w:szCs w:val="32"/>
          <w:highlight w:val="none"/>
          <w:shd w:val="clear" w:color="auto" w:fill="FFFFFF"/>
        </w:rPr>
      </w:pPr>
      <w:r>
        <w:rPr>
          <w:rFonts w:hint="default" w:ascii="Times New Roman" w:hAnsi="Times New Roman" w:eastAsia="仿宋_GB2312" w:cs="Times New Roman"/>
          <w:color w:val="auto"/>
          <w:sz w:val="32"/>
          <w:szCs w:val="32"/>
          <w:highlight w:val="none"/>
          <w:shd w:val="clear" w:color="auto" w:fill="FFFFFF"/>
        </w:rPr>
        <w:t>（报告范围包括机关和下属单位）</w:t>
      </w:r>
    </w:p>
    <w:p w14:paraId="4CB9BE5C">
      <w:pPr>
        <w:keepNext w:val="0"/>
        <w:keepLines w:val="0"/>
        <w:pageBreakBefore w:val="0"/>
        <w:widowControl/>
        <w:kinsoku/>
        <w:wordWrap/>
        <w:overflowPunct/>
        <w:topLinePunct w:val="0"/>
        <w:autoSpaceDE/>
        <w:autoSpaceDN/>
        <w:bidi w:val="0"/>
        <w:adjustRightInd w:val="0"/>
        <w:snapToGrid w:val="0"/>
        <w:spacing w:line="578" w:lineRule="exact"/>
        <w:ind w:firstLine="480" w:firstLineChars="200"/>
        <w:contextualSpacing/>
        <w:jc w:val="left"/>
        <w:textAlignment w:val="auto"/>
        <w:outlineLvl w:val="9"/>
        <w:rPr>
          <w:rFonts w:hint="default" w:ascii="Times New Roman" w:hAnsi="Times New Roman" w:eastAsia="黑体" w:cs="Times New Roman"/>
          <w:color w:val="auto"/>
          <w:kern w:val="0"/>
          <w:sz w:val="24"/>
          <w:szCs w:val="32"/>
          <w:highlight w:val="none"/>
          <w:shd w:val="clear" w:color="auto" w:fill="FFFFFF"/>
        </w:rPr>
      </w:pPr>
    </w:p>
    <w:p w14:paraId="62D0E8C0">
      <w:pPr>
        <w:keepNext w:val="0"/>
        <w:keepLines w:val="0"/>
        <w:pageBreakBefore w:val="0"/>
        <w:widowControl/>
        <w:numPr>
          <w:ilvl w:val="0"/>
          <w:numId w:val="0"/>
        </w:numPr>
        <w:kinsoku/>
        <w:wordWrap/>
        <w:overflowPunct/>
        <w:topLinePunct w:val="0"/>
        <w:autoSpaceDE/>
        <w:autoSpaceDN/>
        <w:bidi w:val="0"/>
        <w:adjustRightInd w:val="0"/>
        <w:snapToGrid w:val="0"/>
        <w:spacing w:line="578" w:lineRule="exact"/>
        <w:ind w:firstLine="640" w:firstLineChars="200"/>
        <w:contextualSpacing/>
        <w:jc w:val="left"/>
        <w:textAlignment w:val="auto"/>
        <w:outlineLvl w:val="9"/>
        <w:rPr>
          <w:rFonts w:hint="default" w:ascii="Times New Roman" w:hAnsi="Times New Roman" w:eastAsia="黑体" w:cs="Times New Roman"/>
          <w:color w:val="auto"/>
          <w:kern w:val="0"/>
          <w:sz w:val="32"/>
          <w:szCs w:val="32"/>
          <w:highlight w:val="none"/>
          <w:shd w:val="clear" w:color="auto" w:fill="FFFFFF"/>
          <w:lang w:val="zh-CN"/>
        </w:rPr>
      </w:pPr>
      <w:r>
        <w:rPr>
          <w:rFonts w:hint="eastAsia" w:ascii="Times New Roman" w:hAnsi="Times New Roman" w:eastAsia="黑体" w:cs="Times New Roman"/>
          <w:color w:val="auto"/>
          <w:kern w:val="0"/>
          <w:sz w:val="32"/>
          <w:szCs w:val="32"/>
          <w:highlight w:val="none"/>
          <w:shd w:val="clear" w:color="auto" w:fill="FFFFFF"/>
          <w:lang w:val="zh-CN"/>
        </w:rPr>
        <w:t>一、</w:t>
      </w:r>
      <w:r>
        <w:rPr>
          <w:rFonts w:hint="eastAsia" w:eastAsia="黑体" w:cs="Times New Roman"/>
          <w:color w:val="auto"/>
          <w:kern w:val="0"/>
          <w:sz w:val="32"/>
          <w:szCs w:val="32"/>
          <w:highlight w:val="none"/>
          <w:shd w:val="clear" w:color="auto" w:fill="FFFFFF"/>
          <w:lang w:val="zh-CN"/>
        </w:rPr>
        <w:t>单位</w:t>
      </w:r>
      <w:r>
        <w:rPr>
          <w:rFonts w:hint="default" w:ascii="Times New Roman" w:hAnsi="Times New Roman" w:eastAsia="黑体" w:cs="Times New Roman"/>
          <w:color w:val="auto"/>
          <w:kern w:val="0"/>
          <w:sz w:val="32"/>
          <w:szCs w:val="32"/>
          <w:highlight w:val="none"/>
          <w:shd w:val="clear" w:color="auto" w:fill="FFFFFF"/>
          <w:lang w:val="zh-CN"/>
        </w:rPr>
        <w:t>（单位）基本情况</w:t>
      </w:r>
    </w:p>
    <w:p w14:paraId="046B3E00">
      <w:pPr>
        <w:widowControl/>
        <w:adjustRightInd w:val="0"/>
        <w:snapToGrid w:val="0"/>
        <w:spacing w:beforeLines="0" w:afterLines="0" w:line="580" w:lineRule="exact"/>
        <w:ind w:firstLine="643" w:firstLineChars="200"/>
        <w:jc w:val="left"/>
        <w:rPr>
          <w:rFonts w:hint="default" w:ascii="Times New Roman" w:hAnsi="Times New Roman" w:eastAsia="楷体_GB2312" w:cs="楷体_GB2312"/>
          <w:b/>
          <w:color w:val="auto"/>
          <w:sz w:val="32"/>
          <w:szCs w:val="32"/>
          <w:highlight w:val="none"/>
          <w:lang w:val="zh-CN"/>
        </w:rPr>
      </w:pPr>
      <w:r>
        <w:rPr>
          <w:rFonts w:hint="eastAsia" w:ascii="Times New Roman" w:hAnsi="Times New Roman" w:eastAsia="楷体_GB2312" w:cs="楷体_GB2312"/>
          <w:b/>
          <w:color w:val="auto"/>
          <w:sz w:val="32"/>
          <w:szCs w:val="32"/>
          <w:highlight w:val="none"/>
          <w:lang w:val="zh-CN"/>
        </w:rPr>
        <w:t>（一）</w:t>
      </w:r>
      <w:r>
        <w:rPr>
          <w:rFonts w:hint="default" w:ascii="Times New Roman" w:hAnsi="Times New Roman" w:eastAsia="楷体_GB2312" w:cs="楷体_GB2312"/>
          <w:b/>
          <w:color w:val="auto"/>
          <w:sz w:val="32"/>
          <w:szCs w:val="32"/>
          <w:highlight w:val="none"/>
          <w:lang w:val="zh-CN"/>
        </w:rPr>
        <w:t>机构组成。</w:t>
      </w:r>
    </w:p>
    <w:p w14:paraId="7A0E3486">
      <w:pPr>
        <w:widowControl/>
        <w:adjustRightInd w:val="0"/>
        <w:snapToGrid w:val="0"/>
        <w:spacing w:beforeLines="0" w:afterLines="0" w:line="580" w:lineRule="exact"/>
        <w:ind w:firstLine="640" w:firstLineChars="200"/>
        <w:jc w:val="left"/>
        <w:rPr>
          <w:rFonts w:hint="default" w:ascii="Times New Roman" w:hAnsi="Times New Roman" w:cs="Times New Roman"/>
          <w:color w:val="auto"/>
          <w:szCs w:val="32"/>
        </w:rPr>
      </w:pPr>
      <w:r>
        <w:rPr>
          <w:rFonts w:hint="eastAsia" w:ascii="仿宋_GB2312" w:hAnsi="仿宋_GB2312" w:eastAsia="仿宋_GB2312" w:cs="仿宋_GB2312"/>
          <w:color w:val="auto"/>
          <w:kern w:val="0"/>
          <w:sz w:val="32"/>
          <w:szCs w:val="32"/>
          <w:shd w:val="clear" w:color="auto" w:fill="FFFFFF"/>
          <w:lang w:val="zh-CN"/>
        </w:rPr>
        <w:t>202</w:t>
      </w:r>
      <w:r>
        <w:rPr>
          <w:rFonts w:hint="eastAsia" w:ascii="仿宋_GB2312" w:hAnsi="仿宋_GB2312" w:eastAsia="仿宋_GB2312" w:cs="仿宋_GB2312"/>
          <w:color w:val="auto"/>
          <w:kern w:val="0"/>
          <w:sz w:val="32"/>
          <w:szCs w:val="32"/>
          <w:shd w:val="clear" w:color="auto" w:fill="FFFFFF"/>
          <w:lang w:val="en-US" w:eastAsia="zh-CN"/>
        </w:rPr>
        <w:t>4</w:t>
      </w:r>
      <w:r>
        <w:rPr>
          <w:rFonts w:hint="eastAsia" w:ascii="仿宋_GB2312" w:hAnsi="仿宋_GB2312" w:eastAsia="仿宋_GB2312" w:cs="仿宋_GB2312"/>
          <w:color w:val="auto"/>
          <w:kern w:val="0"/>
          <w:sz w:val="32"/>
          <w:szCs w:val="32"/>
          <w:shd w:val="clear" w:color="auto" w:fill="FFFFFF"/>
          <w:lang w:val="zh-CN"/>
        </w:rPr>
        <w:t>年末，</w:t>
      </w:r>
      <w:r>
        <w:rPr>
          <w:rFonts w:hint="eastAsia" w:ascii="仿宋_GB2312" w:hAnsi="仿宋_GB2312" w:eastAsia="仿宋_GB2312" w:cs="仿宋_GB2312"/>
          <w:color w:val="auto"/>
          <w:kern w:val="0"/>
          <w:sz w:val="32"/>
          <w:szCs w:val="32"/>
          <w:shd w:val="clear" w:color="auto" w:fill="FFFFFF"/>
          <w:lang w:val="en-US" w:eastAsia="zh-CN"/>
        </w:rPr>
        <w:t>本单位</w:t>
      </w:r>
      <w:r>
        <w:rPr>
          <w:rFonts w:hint="eastAsia" w:ascii="仿宋_GB2312" w:hAnsi="仿宋_GB2312" w:eastAsia="仿宋_GB2312" w:cs="仿宋_GB2312"/>
          <w:color w:val="auto"/>
          <w:kern w:val="0"/>
          <w:sz w:val="32"/>
          <w:szCs w:val="32"/>
          <w:shd w:val="clear" w:color="auto" w:fill="FFFFFF"/>
          <w:lang w:val="zh-CN"/>
        </w:rPr>
        <w:t>独立编制（核算）机构1个，属参公管理的事业单位，内设机构2个,分别为：办公室、财会股。</w:t>
      </w:r>
    </w:p>
    <w:p w14:paraId="3ED02763">
      <w:pPr>
        <w:widowControl/>
        <w:numPr>
          <w:ilvl w:val="0"/>
          <w:numId w:val="2"/>
        </w:numPr>
        <w:adjustRightInd w:val="0"/>
        <w:snapToGrid w:val="0"/>
        <w:spacing w:beforeLines="0" w:afterLines="0" w:line="580" w:lineRule="exact"/>
        <w:ind w:firstLine="643" w:firstLineChars="200"/>
        <w:jc w:val="left"/>
        <w:rPr>
          <w:rFonts w:hint="eastAsia" w:ascii="Times New Roman" w:hAnsi="Times New Roman" w:eastAsia="楷体_GB2312" w:cs="楷体_GB2312"/>
          <w:b/>
          <w:color w:val="auto"/>
          <w:sz w:val="32"/>
          <w:szCs w:val="32"/>
          <w:highlight w:val="none"/>
          <w:lang w:val="zh-CN"/>
        </w:rPr>
      </w:pPr>
      <w:r>
        <w:rPr>
          <w:rFonts w:hint="default" w:ascii="Times New Roman" w:hAnsi="Times New Roman" w:eastAsia="楷体_GB2312" w:cs="楷体_GB2312"/>
          <w:b/>
          <w:color w:val="auto"/>
          <w:sz w:val="32"/>
          <w:szCs w:val="32"/>
          <w:highlight w:val="none"/>
          <w:lang w:val="zh-CN"/>
        </w:rPr>
        <w:t>机构职能</w:t>
      </w:r>
      <w:r>
        <w:rPr>
          <w:rFonts w:hint="eastAsia" w:ascii="Times New Roman" w:hAnsi="Times New Roman" w:eastAsia="楷体_GB2312" w:cs="楷体_GB2312"/>
          <w:b/>
          <w:color w:val="auto"/>
          <w:sz w:val="32"/>
          <w:szCs w:val="32"/>
          <w:highlight w:val="none"/>
          <w:lang w:val="zh-CN"/>
        </w:rPr>
        <w:t>。</w:t>
      </w:r>
    </w:p>
    <w:p w14:paraId="193C7ED3">
      <w:pPr>
        <w:widowControl/>
        <w:numPr>
          <w:ilvl w:val="0"/>
          <w:numId w:val="0"/>
        </w:numPr>
        <w:adjustRightInd w:val="0"/>
        <w:snapToGrid w:val="0"/>
        <w:spacing w:beforeLines="0" w:afterLines="0" w:line="580" w:lineRule="exact"/>
        <w:ind w:firstLine="640" w:firstLineChars="200"/>
        <w:jc w:val="left"/>
        <w:rPr>
          <w:rFonts w:hint="eastAsia" w:ascii="仿宋_GB2312" w:hAnsi="仿宋_GB2312" w:eastAsia="仿宋_GB2312" w:cs="仿宋_GB2312"/>
          <w:color w:val="auto"/>
          <w:kern w:val="0"/>
          <w:sz w:val="32"/>
          <w:szCs w:val="32"/>
          <w:shd w:val="clear" w:color="auto" w:fill="FFFFFF"/>
          <w:lang w:val="zh-CN"/>
        </w:rPr>
      </w:pPr>
      <w:r>
        <w:rPr>
          <w:rFonts w:hint="eastAsia" w:ascii="仿宋_GB2312" w:hAnsi="仿宋_GB2312" w:eastAsia="仿宋_GB2312" w:cs="仿宋_GB2312"/>
          <w:color w:val="auto"/>
          <w:kern w:val="0"/>
          <w:sz w:val="32"/>
          <w:szCs w:val="32"/>
          <w:shd w:val="clear" w:color="auto" w:fill="FFFFFF"/>
          <w:lang w:val="zh-CN"/>
        </w:rPr>
        <w:t>1、组织执行党的路线、方针、政策和国家法律法规。</w:t>
      </w:r>
    </w:p>
    <w:p w14:paraId="62790697">
      <w:pPr>
        <w:widowControl/>
        <w:adjustRightInd w:val="0"/>
        <w:snapToGrid w:val="0"/>
        <w:spacing w:beforeLines="0" w:afterLines="0" w:line="580" w:lineRule="exact"/>
        <w:ind w:firstLine="640" w:firstLineChars="200"/>
        <w:jc w:val="left"/>
        <w:rPr>
          <w:rFonts w:hint="eastAsia" w:ascii="仿宋_GB2312" w:hAnsi="仿宋_GB2312" w:eastAsia="仿宋_GB2312" w:cs="仿宋_GB2312"/>
          <w:color w:val="auto"/>
          <w:kern w:val="0"/>
          <w:sz w:val="32"/>
          <w:szCs w:val="32"/>
          <w:shd w:val="clear" w:color="auto" w:fill="FFFFFF"/>
          <w:lang w:val="zh-CN"/>
        </w:rPr>
      </w:pPr>
      <w:r>
        <w:rPr>
          <w:rFonts w:hint="eastAsia" w:ascii="仿宋_GB2312" w:hAnsi="仿宋_GB2312" w:eastAsia="仿宋_GB2312" w:cs="仿宋_GB2312"/>
          <w:color w:val="auto"/>
          <w:kern w:val="0"/>
          <w:sz w:val="32"/>
          <w:szCs w:val="32"/>
          <w:shd w:val="clear" w:color="auto" w:fill="FFFFFF"/>
          <w:lang w:val="zh-CN"/>
        </w:rPr>
        <w:t>2、贯彻国务院颁布的《粮食流通管理条例》。</w:t>
      </w:r>
    </w:p>
    <w:p w14:paraId="43F0BE3D">
      <w:pPr>
        <w:widowControl/>
        <w:adjustRightInd w:val="0"/>
        <w:snapToGrid w:val="0"/>
        <w:spacing w:beforeLines="0" w:afterLines="0" w:line="580" w:lineRule="exact"/>
        <w:ind w:firstLine="640" w:firstLineChars="200"/>
        <w:jc w:val="left"/>
        <w:rPr>
          <w:rFonts w:hint="eastAsia" w:ascii="仿宋_GB2312" w:hAnsi="仿宋_GB2312" w:eastAsia="仿宋_GB2312" w:cs="仿宋_GB2312"/>
          <w:color w:val="auto"/>
          <w:kern w:val="0"/>
          <w:sz w:val="32"/>
          <w:szCs w:val="32"/>
          <w:shd w:val="clear" w:color="auto" w:fill="FFFFFF"/>
          <w:lang w:val="zh-CN"/>
        </w:rPr>
      </w:pPr>
      <w:r>
        <w:rPr>
          <w:rFonts w:hint="eastAsia" w:ascii="仿宋_GB2312" w:hAnsi="仿宋_GB2312" w:eastAsia="仿宋_GB2312" w:cs="仿宋_GB2312"/>
          <w:color w:val="auto"/>
          <w:kern w:val="0"/>
          <w:sz w:val="32"/>
          <w:szCs w:val="32"/>
          <w:shd w:val="clear" w:color="auto" w:fill="FFFFFF"/>
          <w:lang w:val="zh-CN"/>
        </w:rPr>
        <w:t>3、负责全区粮食流通的行政执法和监督检查，保护粮食生产者的积极性，维护经营者和消费者权益，保障全区粮食安全，维护粮食市场秩序。</w:t>
      </w:r>
    </w:p>
    <w:p w14:paraId="372462DD">
      <w:pPr>
        <w:widowControl/>
        <w:adjustRightInd w:val="0"/>
        <w:snapToGrid w:val="0"/>
        <w:spacing w:beforeLines="0" w:afterLines="0" w:line="580" w:lineRule="exact"/>
        <w:ind w:firstLine="640" w:firstLineChars="200"/>
        <w:jc w:val="left"/>
        <w:rPr>
          <w:rFonts w:hint="eastAsia" w:ascii="仿宋_GB2312" w:hAnsi="仿宋_GB2312" w:eastAsia="仿宋_GB2312" w:cs="仿宋_GB2312"/>
          <w:color w:val="auto"/>
          <w:kern w:val="0"/>
          <w:sz w:val="32"/>
          <w:szCs w:val="32"/>
          <w:shd w:val="clear" w:color="auto" w:fill="FFFFFF"/>
          <w:lang w:val="zh-CN"/>
        </w:rPr>
      </w:pPr>
      <w:r>
        <w:rPr>
          <w:rFonts w:hint="eastAsia" w:ascii="仿宋_GB2312" w:hAnsi="仿宋_GB2312" w:eastAsia="仿宋_GB2312" w:cs="仿宋_GB2312"/>
          <w:color w:val="auto"/>
          <w:kern w:val="0"/>
          <w:sz w:val="32"/>
          <w:szCs w:val="32"/>
          <w:shd w:val="clear" w:color="auto" w:fill="FFFFFF"/>
          <w:lang w:val="zh-CN"/>
        </w:rPr>
        <w:t>4、负责全区粮食流通行政监督，行业指导，加强粮食宏观调控，发挥粮食单位的主渠道作用。</w:t>
      </w:r>
    </w:p>
    <w:p w14:paraId="5A66608A">
      <w:pPr>
        <w:widowControl/>
        <w:adjustRightInd w:val="0"/>
        <w:snapToGrid w:val="0"/>
        <w:spacing w:beforeLines="0" w:afterLines="0" w:line="580" w:lineRule="exact"/>
        <w:ind w:firstLine="640" w:firstLineChars="200"/>
        <w:jc w:val="left"/>
        <w:rPr>
          <w:rFonts w:hint="default" w:ascii="Times New Roman" w:hAnsi="Times New Roman" w:eastAsia="楷体_GB2312" w:cs="Times New Roman"/>
          <w:b/>
          <w:bCs/>
          <w:color w:val="auto"/>
          <w:kern w:val="0"/>
          <w:szCs w:val="32"/>
          <w:highlight w:val="none"/>
          <w:shd w:val="clear" w:color="auto" w:fill="FFFFFF"/>
          <w:lang w:val="zh-CN"/>
        </w:rPr>
      </w:pPr>
      <w:r>
        <w:rPr>
          <w:rFonts w:hint="eastAsia" w:ascii="仿宋_GB2312" w:hAnsi="仿宋_GB2312" w:eastAsia="仿宋_GB2312" w:cs="仿宋_GB2312"/>
          <w:color w:val="auto"/>
          <w:kern w:val="0"/>
          <w:sz w:val="32"/>
          <w:szCs w:val="32"/>
          <w:shd w:val="clear" w:color="auto" w:fill="FFFFFF"/>
          <w:lang w:val="zh-CN"/>
        </w:rPr>
        <w:t>5、负责监管区级储备粮油的执行，保障储备粮油的安全，建立粮食应急机制，应对突发事件。</w:t>
      </w:r>
    </w:p>
    <w:p w14:paraId="03BBE909">
      <w:pPr>
        <w:widowControl/>
        <w:numPr>
          <w:ilvl w:val="0"/>
          <w:numId w:val="2"/>
        </w:numPr>
        <w:adjustRightInd w:val="0"/>
        <w:snapToGrid w:val="0"/>
        <w:spacing w:beforeLines="0" w:afterLines="0" w:line="580" w:lineRule="exact"/>
        <w:ind w:left="0" w:leftChars="0" w:firstLine="643" w:firstLineChars="200"/>
        <w:jc w:val="left"/>
        <w:rPr>
          <w:rFonts w:hint="eastAsia" w:ascii="Times New Roman" w:hAnsi="Times New Roman" w:eastAsia="楷体_GB2312" w:cs="Times New Roman"/>
          <w:b/>
          <w:bCs/>
          <w:color w:val="auto"/>
          <w:kern w:val="0"/>
          <w:sz w:val="32"/>
          <w:szCs w:val="32"/>
          <w:highlight w:val="none"/>
          <w:shd w:val="clear" w:color="auto" w:fill="FFFFFF"/>
          <w:lang w:val="zh-CN"/>
        </w:rPr>
      </w:pPr>
      <w:r>
        <w:rPr>
          <w:rFonts w:hint="default" w:ascii="Times New Roman" w:hAnsi="Times New Roman" w:eastAsia="楷体_GB2312" w:cs="Times New Roman"/>
          <w:b/>
          <w:bCs/>
          <w:color w:val="auto"/>
          <w:kern w:val="0"/>
          <w:sz w:val="32"/>
          <w:szCs w:val="32"/>
          <w:highlight w:val="none"/>
          <w:shd w:val="clear" w:color="auto" w:fill="FFFFFF"/>
          <w:lang w:val="zh-CN"/>
        </w:rPr>
        <w:t>人员概况</w:t>
      </w:r>
      <w:r>
        <w:rPr>
          <w:rFonts w:hint="eastAsia" w:ascii="Times New Roman" w:hAnsi="Times New Roman" w:eastAsia="楷体_GB2312" w:cs="Times New Roman"/>
          <w:b/>
          <w:bCs/>
          <w:color w:val="auto"/>
          <w:kern w:val="0"/>
          <w:sz w:val="32"/>
          <w:szCs w:val="32"/>
          <w:highlight w:val="none"/>
          <w:shd w:val="clear" w:color="auto" w:fill="FFFFFF"/>
          <w:lang w:val="zh-CN"/>
        </w:rPr>
        <w:t>。</w:t>
      </w:r>
    </w:p>
    <w:p w14:paraId="66B8C417">
      <w:pPr>
        <w:widowControl/>
        <w:numPr>
          <w:ilvl w:val="0"/>
          <w:numId w:val="0"/>
        </w:numPr>
        <w:adjustRightInd w:val="0"/>
        <w:snapToGrid w:val="0"/>
        <w:spacing w:beforeLines="0" w:afterLines="0" w:line="580" w:lineRule="exact"/>
        <w:ind w:leftChars="200" w:firstLine="640" w:firstLineChars="200"/>
        <w:jc w:val="left"/>
        <w:rPr>
          <w:rFonts w:hint="default" w:ascii="Times New Roman" w:hAnsi="Times New Roman" w:cs="Times New Roman"/>
          <w:color w:val="auto"/>
          <w:szCs w:val="32"/>
        </w:rPr>
      </w:pPr>
      <w:r>
        <w:rPr>
          <w:rFonts w:hint="default" w:ascii="Times New Roman" w:hAnsi="Times New Roman" w:eastAsia="仿宋_GB2312" w:cs="Times New Roman"/>
          <w:color w:val="auto"/>
          <w:sz w:val="32"/>
          <w:szCs w:val="32"/>
          <w:lang w:val="en-US" w:eastAsia="zh-CN"/>
        </w:rPr>
        <w:t>截至202</w:t>
      </w:r>
      <w:r>
        <w:rPr>
          <w:rFonts w:hint="eastAsia" w:ascii="Times New Roman" w:hAnsi="Times New Roman" w:eastAsia="仿宋_GB2312" w:cs="Times New Roman"/>
          <w:color w:val="auto"/>
          <w:sz w:val="32"/>
          <w:szCs w:val="32"/>
          <w:lang w:val="en-US" w:eastAsia="zh-CN"/>
        </w:rPr>
        <w:t>4</w:t>
      </w:r>
      <w:r>
        <w:rPr>
          <w:rFonts w:hint="default" w:ascii="Times New Roman" w:hAnsi="Times New Roman" w:eastAsia="仿宋_GB2312" w:cs="Times New Roman"/>
          <w:color w:val="auto"/>
          <w:sz w:val="32"/>
          <w:szCs w:val="32"/>
          <w:lang w:val="en-US" w:eastAsia="zh-CN"/>
        </w:rPr>
        <w:t>年末，</w:t>
      </w:r>
      <w:r>
        <w:rPr>
          <w:rFonts w:hint="eastAsia" w:eastAsia="仿宋_GB2312" w:cs="仿宋_GB2312"/>
          <w:color w:val="auto"/>
          <w:kern w:val="2"/>
          <w:sz w:val="32"/>
          <w:szCs w:val="32"/>
          <w:highlight w:val="none"/>
          <w:lang w:val="en-US" w:eastAsia="zh-CN" w:bidi="ar-SA"/>
        </w:rPr>
        <w:t>本单位</w:t>
      </w:r>
      <w:r>
        <w:rPr>
          <w:rFonts w:hint="eastAsia" w:ascii="仿宋_GB2312" w:hAnsi="仿宋_GB2312" w:eastAsia="仿宋_GB2312" w:cs="仿宋_GB2312"/>
          <w:color w:val="auto"/>
          <w:kern w:val="0"/>
          <w:sz w:val="32"/>
          <w:szCs w:val="32"/>
          <w:shd w:val="clear" w:color="auto" w:fill="FFFFFF"/>
          <w:lang w:val="zh-CN"/>
        </w:rPr>
        <w:t>参公事业编制5人</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年末</w:t>
      </w:r>
      <w:r>
        <w:rPr>
          <w:rFonts w:hint="eastAsia" w:ascii="仿宋_GB2312" w:hAnsi="仿宋_GB2312" w:eastAsia="仿宋_GB2312" w:cs="仿宋_GB2312"/>
          <w:color w:val="auto"/>
          <w:kern w:val="0"/>
          <w:sz w:val="32"/>
          <w:szCs w:val="32"/>
          <w:shd w:val="clear" w:color="auto" w:fill="FFFFFF"/>
          <w:lang w:val="zh-CN"/>
        </w:rPr>
        <w:t>公务员</w:t>
      </w:r>
      <w:r>
        <w:rPr>
          <w:rFonts w:hint="eastAsia" w:ascii="仿宋_GB2312" w:hAnsi="仿宋_GB2312" w:eastAsia="仿宋_GB2312" w:cs="仿宋_GB2312"/>
          <w:color w:val="auto"/>
          <w:kern w:val="0"/>
          <w:sz w:val="32"/>
          <w:szCs w:val="32"/>
          <w:shd w:val="clear" w:color="auto" w:fill="FFFFFF"/>
        </w:rPr>
        <w:t>1</w:t>
      </w:r>
      <w:r>
        <w:rPr>
          <w:rFonts w:hint="eastAsia" w:ascii="仿宋_GB2312" w:hAnsi="仿宋_GB2312" w:eastAsia="仿宋_GB2312" w:cs="仿宋_GB2312"/>
          <w:color w:val="auto"/>
          <w:kern w:val="0"/>
          <w:sz w:val="32"/>
          <w:szCs w:val="32"/>
          <w:shd w:val="clear" w:color="auto" w:fill="FFFFFF"/>
          <w:lang w:val="zh-CN"/>
        </w:rPr>
        <w:t>人，参公人员</w:t>
      </w:r>
      <w:r>
        <w:rPr>
          <w:rFonts w:hint="eastAsia" w:ascii="仿宋_GB2312" w:hAnsi="仿宋_GB2312" w:eastAsia="仿宋_GB2312" w:cs="仿宋_GB2312"/>
          <w:color w:val="auto"/>
          <w:kern w:val="0"/>
          <w:sz w:val="32"/>
          <w:szCs w:val="32"/>
          <w:shd w:val="clear" w:color="auto" w:fill="FFFFFF"/>
        </w:rPr>
        <w:t>4</w:t>
      </w:r>
      <w:r>
        <w:rPr>
          <w:rFonts w:hint="eastAsia" w:ascii="仿宋_GB2312" w:hAnsi="仿宋_GB2312" w:eastAsia="仿宋_GB2312" w:cs="仿宋_GB2312"/>
          <w:color w:val="auto"/>
          <w:kern w:val="0"/>
          <w:sz w:val="32"/>
          <w:szCs w:val="32"/>
          <w:shd w:val="clear" w:color="auto" w:fill="FFFFFF"/>
          <w:lang w:val="zh-CN"/>
        </w:rPr>
        <w:t>人。</w:t>
      </w:r>
    </w:p>
    <w:p w14:paraId="35D91786">
      <w:pPr>
        <w:keepNext w:val="0"/>
        <w:keepLines w:val="0"/>
        <w:pageBreakBefore w:val="0"/>
        <w:widowControl/>
        <w:numPr>
          <w:ilvl w:val="0"/>
          <w:numId w:val="0"/>
        </w:numPr>
        <w:kinsoku/>
        <w:wordWrap/>
        <w:overflowPunct/>
        <w:topLinePunct w:val="0"/>
        <w:autoSpaceDE/>
        <w:autoSpaceDN/>
        <w:bidi w:val="0"/>
        <w:adjustRightInd w:val="0"/>
        <w:snapToGrid w:val="0"/>
        <w:spacing w:line="578" w:lineRule="exact"/>
        <w:ind w:firstLine="640" w:firstLineChars="200"/>
        <w:contextualSpacing/>
        <w:jc w:val="left"/>
        <w:textAlignment w:val="auto"/>
        <w:outlineLvl w:val="9"/>
        <w:rPr>
          <w:rFonts w:hint="default" w:ascii="Times New Roman" w:hAnsi="Times New Roman" w:eastAsia="黑体" w:cs="Times New Roman"/>
          <w:color w:val="auto"/>
          <w:kern w:val="0"/>
          <w:sz w:val="32"/>
          <w:szCs w:val="32"/>
          <w:highlight w:val="none"/>
          <w:shd w:val="clear" w:color="auto" w:fill="FFFFFF"/>
          <w:lang w:val="zh-CN" w:eastAsia="zh-CN"/>
        </w:rPr>
      </w:pPr>
      <w:r>
        <w:rPr>
          <w:rFonts w:hint="default" w:ascii="Times New Roman" w:hAnsi="Times New Roman" w:eastAsia="黑体" w:cs="Times New Roman"/>
          <w:color w:val="auto"/>
          <w:kern w:val="0"/>
          <w:sz w:val="32"/>
          <w:szCs w:val="32"/>
          <w:highlight w:val="none"/>
          <w:shd w:val="clear" w:color="auto" w:fill="FFFFFF"/>
          <w:lang w:val="zh-CN" w:eastAsia="zh-CN"/>
        </w:rPr>
        <w:t>二、</w:t>
      </w:r>
      <w:r>
        <w:rPr>
          <w:rFonts w:hint="eastAsia" w:eastAsia="黑体" w:cs="Times New Roman"/>
          <w:color w:val="auto"/>
          <w:kern w:val="0"/>
          <w:sz w:val="32"/>
          <w:szCs w:val="32"/>
          <w:highlight w:val="none"/>
          <w:shd w:val="clear" w:color="auto" w:fill="FFFFFF"/>
          <w:lang w:val="zh-CN" w:eastAsia="zh-CN"/>
        </w:rPr>
        <w:t>单位</w:t>
      </w:r>
      <w:r>
        <w:rPr>
          <w:rFonts w:hint="default" w:ascii="Times New Roman" w:hAnsi="Times New Roman" w:eastAsia="黑体" w:cs="Times New Roman"/>
          <w:color w:val="auto"/>
          <w:kern w:val="0"/>
          <w:sz w:val="32"/>
          <w:szCs w:val="32"/>
          <w:highlight w:val="none"/>
          <w:shd w:val="clear" w:color="auto" w:fill="FFFFFF"/>
          <w:lang w:val="zh-CN" w:eastAsia="zh-CN"/>
        </w:rPr>
        <w:t>资金收支情况</w:t>
      </w:r>
    </w:p>
    <w:p w14:paraId="3C59117F">
      <w:pPr>
        <w:keepNext w:val="0"/>
        <w:keepLines w:val="0"/>
        <w:pageBreakBefore w:val="0"/>
        <w:widowControl/>
        <w:kinsoku/>
        <w:wordWrap/>
        <w:overflowPunct/>
        <w:topLinePunct w:val="0"/>
        <w:autoSpaceDE/>
        <w:autoSpaceDN/>
        <w:bidi w:val="0"/>
        <w:adjustRightInd w:val="0"/>
        <w:snapToGrid w:val="0"/>
        <w:spacing w:line="578" w:lineRule="exact"/>
        <w:ind w:firstLine="643" w:firstLineChars="200"/>
        <w:contextualSpacing/>
        <w:jc w:val="left"/>
        <w:textAlignment w:val="auto"/>
        <w:outlineLvl w:val="9"/>
        <w:rPr>
          <w:rFonts w:hint="default" w:ascii="Times New Roman" w:hAnsi="Times New Roman" w:eastAsia="楷体_GB2312" w:cs="Times New Roman"/>
          <w:b/>
          <w:bCs/>
          <w:color w:val="auto"/>
          <w:kern w:val="0"/>
          <w:sz w:val="32"/>
          <w:szCs w:val="32"/>
          <w:highlight w:val="none"/>
          <w:shd w:val="clear" w:color="auto" w:fill="FFFFFF"/>
          <w:lang w:val="zh-CN"/>
        </w:rPr>
      </w:pPr>
      <w:r>
        <w:rPr>
          <w:rFonts w:hint="default" w:ascii="Times New Roman" w:hAnsi="Times New Roman" w:eastAsia="楷体_GB2312" w:cs="Times New Roman"/>
          <w:b/>
          <w:bCs/>
          <w:color w:val="auto"/>
          <w:kern w:val="0"/>
          <w:sz w:val="32"/>
          <w:szCs w:val="32"/>
          <w:highlight w:val="none"/>
          <w:shd w:val="clear" w:color="auto" w:fill="FFFFFF"/>
          <w:lang w:val="zh-CN"/>
        </w:rPr>
        <w:t>（一）</w:t>
      </w:r>
      <w:r>
        <w:rPr>
          <w:rFonts w:hint="eastAsia" w:ascii="Times New Roman" w:hAnsi="Times New Roman" w:eastAsia="楷体_GB2312" w:cs="Times New Roman"/>
          <w:b/>
          <w:bCs/>
          <w:color w:val="auto"/>
          <w:kern w:val="0"/>
          <w:sz w:val="32"/>
          <w:szCs w:val="32"/>
          <w:highlight w:val="none"/>
          <w:shd w:val="clear" w:color="auto" w:fill="FFFFFF"/>
          <w:lang w:val="zh-CN"/>
        </w:rPr>
        <w:t>收入情况</w:t>
      </w:r>
      <w:r>
        <w:rPr>
          <w:rFonts w:hint="default" w:ascii="Times New Roman" w:hAnsi="Times New Roman" w:eastAsia="楷体_GB2312" w:cs="Times New Roman"/>
          <w:b/>
          <w:bCs/>
          <w:color w:val="auto"/>
          <w:kern w:val="0"/>
          <w:sz w:val="32"/>
          <w:szCs w:val="32"/>
          <w:highlight w:val="none"/>
          <w:shd w:val="clear" w:color="auto" w:fill="FFFFFF"/>
          <w:lang w:val="zh-CN"/>
        </w:rPr>
        <w:t>。</w:t>
      </w:r>
    </w:p>
    <w:p w14:paraId="651B62A1">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contextualSpacing/>
        <w:jc w:val="left"/>
        <w:textAlignment w:val="auto"/>
        <w:outlineLvl w:val="9"/>
        <w:rPr>
          <w:rFonts w:hint="default" w:ascii="Times New Roman" w:hAnsi="Times New Roman" w:eastAsia="楷体_GB2312" w:cs="Times New Roman"/>
          <w:b/>
          <w:bCs/>
          <w:color w:val="auto"/>
          <w:kern w:val="0"/>
          <w:szCs w:val="32"/>
          <w:highlight w:val="none"/>
          <w:shd w:val="clear" w:color="auto" w:fill="FFFFFF"/>
          <w:lang w:val="en-US"/>
        </w:rPr>
      </w:pPr>
      <w:r>
        <w:rPr>
          <w:rFonts w:hint="eastAsia" w:ascii="Times New Roman" w:hAnsi="Times New Roman" w:eastAsia="仿宋_GB2312" w:cs="Times New Roman"/>
          <w:color w:val="auto"/>
          <w:sz w:val="32"/>
          <w:szCs w:val="32"/>
          <w:lang w:val="en-US" w:eastAsia="zh-CN"/>
        </w:rPr>
        <w:t>2024年年初预算收入</w:t>
      </w:r>
      <w:r>
        <w:rPr>
          <w:rFonts w:hint="eastAsia" w:eastAsia="仿宋_GB2312" w:cs="Times New Roman"/>
          <w:color w:val="auto"/>
          <w:sz w:val="32"/>
          <w:szCs w:val="32"/>
          <w:lang w:val="en-US" w:eastAsia="zh-CN"/>
        </w:rPr>
        <w:t>332.31万元，</w:t>
      </w:r>
      <w:r>
        <w:rPr>
          <w:rFonts w:hint="eastAsia" w:ascii="Times New Roman" w:hAnsi="Times New Roman" w:eastAsia="仿宋_GB2312" w:cs="Times New Roman"/>
          <w:color w:val="auto"/>
          <w:sz w:val="32"/>
          <w:szCs w:val="32"/>
          <w:lang w:val="en-US" w:eastAsia="zh-CN"/>
        </w:rPr>
        <w:t>决算报表</w:t>
      </w:r>
      <w:r>
        <w:rPr>
          <w:rFonts w:hint="eastAsia" w:eastAsia="仿宋_GB2312" w:cs="Times New Roman"/>
          <w:color w:val="auto"/>
          <w:sz w:val="32"/>
          <w:szCs w:val="32"/>
          <w:lang w:val="en-US" w:eastAsia="zh-CN"/>
        </w:rPr>
        <w:t>一般公共预算财政拨款收入320.52万元</w:t>
      </w:r>
      <w:r>
        <w:rPr>
          <w:rFonts w:hint="eastAsia" w:ascii="Times New Roman" w:hAnsi="Times New Roman" w:eastAsia="仿宋_GB2312" w:cs="Times New Roman"/>
          <w:color w:val="auto"/>
          <w:sz w:val="32"/>
          <w:szCs w:val="32"/>
          <w:lang w:val="en-US" w:eastAsia="zh-CN"/>
        </w:rPr>
        <w:t>。</w:t>
      </w:r>
    </w:p>
    <w:p w14:paraId="6794F8CB">
      <w:pPr>
        <w:keepNext w:val="0"/>
        <w:keepLines w:val="0"/>
        <w:pageBreakBefore w:val="0"/>
        <w:widowControl/>
        <w:numPr>
          <w:ilvl w:val="0"/>
          <w:numId w:val="3"/>
        </w:numPr>
        <w:kinsoku/>
        <w:wordWrap/>
        <w:overflowPunct/>
        <w:topLinePunct w:val="0"/>
        <w:autoSpaceDE/>
        <w:autoSpaceDN/>
        <w:bidi w:val="0"/>
        <w:adjustRightInd w:val="0"/>
        <w:snapToGrid w:val="0"/>
        <w:spacing w:line="578" w:lineRule="exact"/>
        <w:ind w:firstLine="643" w:firstLineChars="200"/>
        <w:contextualSpacing/>
        <w:jc w:val="left"/>
        <w:textAlignment w:val="auto"/>
        <w:outlineLvl w:val="9"/>
        <w:rPr>
          <w:rFonts w:hint="default" w:ascii="Times New Roman" w:hAnsi="Times New Roman" w:eastAsia="楷体_GB2312" w:cs="Times New Roman"/>
          <w:b/>
          <w:bCs/>
          <w:color w:val="auto"/>
          <w:kern w:val="0"/>
          <w:sz w:val="32"/>
          <w:szCs w:val="32"/>
          <w:highlight w:val="none"/>
          <w:shd w:val="clear" w:color="auto" w:fill="FFFFFF"/>
          <w:lang w:val="zh-CN"/>
        </w:rPr>
      </w:pPr>
      <w:r>
        <w:rPr>
          <w:rFonts w:hint="eastAsia" w:ascii="Times New Roman" w:hAnsi="Times New Roman" w:eastAsia="楷体_GB2312" w:cs="Times New Roman"/>
          <w:b/>
          <w:bCs/>
          <w:color w:val="auto"/>
          <w:kern w:val="0"/>
          <w:sz w:val="32"/>
          <w:szCs w:val="32"/>
          <w:highlight w:val="none"/>
          <w:shd w:val="clear" w:color="auto" w:fill="FFFFFF"/>
          <w:lang w:val="zh-CN"/>
        </w:rPr>
        <w:t>支出情况</w:t>
      </w:r>
      <w:r>
        <w:rPr>
          <w:rFonts w:hint="default" w:ascii="Times New Roman" w:hAnsi="Times New Roman" w:eastAsia="楷体_GB2312" w:cs="Times New Roman"/>
          <w:b/>
          <w:bCs/>
          <w:color w:val="auto"/>
          <w:kern w:val="0"/>
          <w:sz w:val="32"/>
          <w:szCs w:val="32"/>
          <w:highlight w:val="none"/>
          <w:shd w:val="clear" w:color="auto" w:fill="FFFFFF"/>
          <w:lang w:val="zh-CN"/>
        </w:rPr>
        <w:t>。</w:t>
      </w:r>
    </w:p>
    <w:p w14:paraId="6B0E8125">
      <w:pPr>
        <w:keepNext w:val="0"/>
        <w:keepLines w:val="0"/>
        <w:pageBreakBefore w:val="0"/>
        <w:widowControl/>
        <w:numPr>
          <w:ilvl w:val="0"/>
          <w:numId w:val="0"/>
        </w:numPr>
        <w:kinsoku/>
        <w:wordWrap/>
        <w:overflowPunct/>
        <w:topLinePunct w:val="0"/>
        <w:autoSpaceDE/>
        <w:autoSpaceDN/>
        <w:bidi w:val="0"/>
        <w:adjustRightInd w:val="0"/>
        <w:snapToGrid w:val="0"/>
        <w:spacing w:line="578" w:lineRule="exact"/>
        <w:ind w:firstLine="640" w:firstLineChars="200"/>
        <w:contextualSpacing/>
        <w:jc w:val="left"/>
        <w:textAlignment w:val="auto"/>
        <w:outlineLvl w:val="9"/>
        <w:rPr>
          <w:rFonts w:hint="default" w:ascii="Times New Roman" w:hAnsi="Times New Roman" w:cs="Times New Roman"/>
          <w:color w:val="auto"/>
          <w:szCs w:val="32"/>
          <w:lang w:val="en-US" w:eastAsia="zh-CN"/>
        </w:rPr>
      </w:pPr>
      <w:r>
        <w:rPr>
          <w:rFonts w:hint="eastAsia" w:ascii="Times New Roman" w:hAnsi="Times New Roman" w:eastAsia="仿宋_GB2312" w:cs="Times New Roman"/>
          <w:color w:val="auto"/>
          <w:sz w:val="32"/>
          <w:szCs w:val="32"/>
          <w:lang w:val="en-US" w:eastAsia="zh-CN"/>
        </w:rPr>
        <w:t>2024年年初预算支出</w:t>
      </w:r>
      <w:r>
        <w:rPr>
          <w:rFonts w:hint="eastAsia" w:eastAsia="仿宋_GB2312" w:cs="Times New Roman"/>
          <w:color w:val="auto"/>
          <w:sz w:val="32"/>
          <w:szCs w:val="32"/>
          <w:lang w:val="en-US" w:eastAsia="zh-CN"/>
        </w:rPr>
        <w:t>332.31万元</w:t>
      </w:r>
      <w:r>
        <w:rPr>
          <w:rFonts w:hint="eastAsia" w:ascii="Times New Roman" w:hAnsi="Times New Roman" w:eastAsia="仿宋_GB2312" w:cs="Times New Roman"/>
          <w:color w:val="auto"/>
          <w:sz w:val="32"/>
          <w:szCs w:val="32"/>
          <w:lang w:val="en-US" w:eastAsia="zh-CN"/>
        </w:rPr>
        <w:t>、决算报表</w:t>
      </w:r>
      <w:r>
        <w:rPr>
          <w:rFonts w:hint="eastAsia" w:eastAsia="仿宋_GB2312" w:cs="Times New Roman"/>
          <w:color w:val="auto"/>
          <w:sz w:val="32"/>
          <w:szCs w:val="32"/>
          <w:lang w:val="en-US" w:eastAsia="zh-CN"/>
        </w:rPr>
        <w:t>支出320.52万元：基本支出148.05万元、项目支出172.47万元。</w:t>
      </w:r>
    </w:p>
    <w:p w14:paraId="1BC1E9F8">
      <w:pPr>
        <w:keepNext w:val="0"/>
        <w:keepLines w:val="0"/>
        <w:pageBreakBefore w:val="0"/>
        <w:widowControl/>
        <w:numPr>
          <w:ilvl w:val="0"/>
          <w:numId w:val="3"/>
        </w:numPr>
        <w:kinsoku/>
        <w:wordWrap/>
        <w:overflowPunct/>
        <w:topLinePunct w:val="0"/>
        <w:autoSpaceDE/>
        <w:autoSpaceDN/>
        <w:bidi w:val="0"/>
        <w:adjustRightInd w:val="0"/>
        <w:snapToGrid w:val="0"/>
        <w:spacing w:line="578" w:lineRule="exact"/>
        <w:ind w:left="0" w:leftChars="0" w:firstLine="643" w:firstLineChars="200"/>
        <w:contextualSpacing/>
        <w:jc w:val="left"/>
        <w:textAlignment w:val="auto"/>
        <w:outlineLvl w:val="9"/>
        <w:rPr>
          <w:rFonts w:hint="eastAsia" w:ascii="Times New Roman" w:hAnsi="Times New Roman" w:eastAsia="楷体_GB2312" w:cs="Times New Roman"/>
          <w:b/>
          <w:bCs/>
          <w:color w:val="auto"/>
          <w:kern w:val="0"/>
          <w:sz w:val="32"/>
          <w:szCs w:val="32"/>
          <w:highlight w:val="none"/>
          <w:shd w:val="clear" w:color="auto" w:fill="FFFFFF"/>
          <w:lang w:val="zh-CN" w:eastAsia="zh-CN"/>
        </w:rPr>
      </w:pPr>
      <w:r>
        <w:rPr>
          <w:rFonts w:hint="default" w:ascii="Times New Roman" w:hAnsi="Times New Roman" w:eastAsia="楷体_GB2312" w:cs="Times New Roman"/>
          <w:b/>
          <w:bCs/>
          <w:color w:val="auto"/>
          <w:kern w:val="0"/>
          <w:sz w:val="32"/>
          <w:szCs w:val="32"/>
          <w:highlight w:val="none"/>
          <w:shd w:val="clear" w:color="auto" w:fill="FFFFFF"/>
          <w:lang w:val="zh-CN"/>
        </w:rPr>
        <w:t>结余分配和结转结余情况</w:t>
      </w:r>
      <w:r>
        <w:rPr>
          <w:rFonts w:hint="eastAsia" w:ascii="Times New Roman" w:hAnsi="Times New Roman" w:eastAsia="楷体_GB2312" w:cs="Times New Roman"/>
          <w:b/>
          <w:bCs/>
          <w:color w:val="auto"/>
          <w:kern w:val="0"/>
          <w:sz w:val="32"/>
          <w:szCs w:val="32"/>
          <w:highlight w:val="none"/>
          <w:shd w:val="clear" w:color="auto" w:fill="FFFFFF"/>
          <w:lang w:val="zh-CN" w:eastAsia="zh-CN"/>
        </w:rPr>
        <w:t>。</w:t>
      </w:r>
    </w:p>
    <w:p w14:paraId="23C6684A">
      <w:pPr>
        <w:keepNext w:val="0"/>
        <w:keepLines w:val="0"/>
        <w:pageBreakBefore w:val="0"/>
        <w:widowControl/>
        <w:numPr>
          <w:ilvl w:val="0"/>
          <w:numId w:val="0"/>
        </w:numPr>
        <w:kinsoku/>
        <w:wordWrap/>
        <w:overflowPunct/>
        <w:topLinePunct w:val="0"/>
        <w:autoSpaceDE/>
        <w:autoSpaceDN/>
        <w:bidi w:val="0"/>
        <w:adjustRightInd w:val="0"/>
        <w:snapToGrid w:val="0"/>
        <w:spacing w:line="578" w:lineRule="exact"/>
        <w:ind w:firstLine="640" w:firstLineChars="200"/>
        <w:contextualSpacing/>
        <w:jc w:val="left"/>
        <w:textAlignment w:val="auto"/>
        <w:outlineLvl w:val="9"/>
        <w:rPr>
          <w:rFonts w:hint="default" w:ascii="Times New Roman" w:hAnsi="Times New Roman" w:eastAsia="仿宋_GB2312" w:cs="Times New Roman"/>
          <w:b w:val="0"/>
          <w:bCs w:val="0"/>
          <w:color w:val="auto"/>
          <w:kern w:val="0"/>
          <w:szCs w:val="32"/>
          <w:highlight w:val="none"/>
          <w:shd w:val="clear" w:color="auto" w:fill="FFFFFF"/>
          <w:lang w:val="en-US" w:eastAsia="zh-CN"/>
        </w:rPr>
      </w:pPr>
      <w:r>
        <w:rPr>
          <w:rFonts w:hint="eastAsia" w:ascii="Times New Roman" w:hAnsi="Times New Roman" w:eastAsia="仿宋_GB2312" w:cs="Times New Roman"/>
          <w:color w:val="auto"/>
          <w:sz w:val="32"/>
          <w:szCs w:val="32"/>
          <w:lang w:val="en-US" w:eastAsia="zh-CN"/>
        </w:rPr>
        <w:t>2024年决算报表</w:t>
      </w:r>
      <w:r>
        <w:rPr>
          <w:rFonts w:hint="default" w:ascii="Times New Roman" w:hAnsi="Times New Roman" w:eastAsia="仿宋_GB2312" w:cs="Times New Roman"/>
          <w:color w:val="auto"/>
          <w:sz w:val="32"/>
          <w:szCs w:val="32"/>
          <w:lang w:val="en-US" w:eastAsia="zh-CN"/>
        </w:rPr>
        <w:t>结转结余</w:t>
      </w:r>
      <w:r>
        <w:rPr>
          <w:rFonts w:hint="eastAsia" w:ascii="Times New Roman" w:hAnsi="Times New Roman" w:eastAsia="仿宋_GB2312" w:cs="Times New Roman"/>
          <w:color w:val="auto"/>
          <w:sz w:val="32"/>
          <w:szCs w:val="32"/>
          <w:lang w:val="en-US" w:eastAsia="zh-CN"/>
        </w:rPr>
        <w:t>情况</w:t>
      </w:r>
      <w:r>
        <w:rPr>
          <w:rFonts w:hint="default" w:ascii="Times New Roman" w:hAnsi="Times New Roman" w:eastAsia="仿宋_GB2312" w:cs="Times New Roman"/>
          <w:color w:val="auto"/>
          <w:sz w:val="32"/>
          <w:szCs w:val="32"/>
          <w:lang w:val="en-US" w:eastAsia="zh-CN"/>
        </w:rPr>
        <w:t>。</w:t>
      </w:r>
      <w:r>
        <w:rPr>
          <w:rFonts w:hint="eastAsia" w:eastAsia="仿宋_GB2312" w:cs="Times New Roman"/>
          <w:color w:val="auto"/>
          <w:sz w:val="32"/>
          <w:szCs w:val="32"/>
          <w:lang w:val="en-US" w:eastAsia="zh-CN"/>
        </w:rPr>
        <w:t>无</w:t>
      </w:r>
    </w:p>
    <w:p w14:paraId="571BA003">
      <w:pPr>
        <w:keepNext w:val="0"/>
        <w:keepLines w:val="0"/>
        <w:pageBreakBefore w:val="0"/>
        <w:widowControl/>
        <w:numPr>
          <w:ilvl w:val="0"/>
          <w:numId w:val="0"/>
        </w:numPr>
        <w:kinsoku/>
        <w:wordWrap/>
        <w:overflowPunct/>
        <w:topLinePunct w:val="0"/>
        <w:autoSpaceDE/>
        <w:autoSpaceDN/>
        <w:bidi w:val="0"/>
        <w:adjustRightInd w:val="0"/>
        <w:snapToGrid w:val="0"/>
        <w:spacing w:line="578" w:lineRule="exact"/>
        <w:ind w:firstLine="640" w:firstLineChars="200"/>
        <w:contextualSpacing/>
        <w:jc w:val="left"/>
        <w:textAlignment w:val="auto"/>
        <w:outlineLvl w:val="9"/>
        <w:rPr>
          <w:rFonts w:hint="default" w:ascii="Times New Roman" w:hAnsi="Times New Roman" w:eastAsia="黑体" w:cs="Times New Roman"/>
          <w:color w:val="auto"/>
          <w:kern w:val="0"/>
          <w:sz w:val="32"/>
          <w:szCs w:val="32"/>
          <w:highlight w:val="none"/>
          <w:shd w:val="clear" w:color="auto" w:fill="FFFFFF"/>
          <w:lang w:val="zh-CN" w:eastAsia="zh-CN"/>
        </w:rPr>
      </w:pPr>
      <w:r>
        <w:rPr>
          <w:rFonts w:hint="default" w:ascii="Times New Roman" w:hAnsi="Times New Roman" w:eastAsia="黑体" w:cs="Times New Roman"/>
          <w:color w:val="auto"/>
          <w:kern w:val="0"/>
          <w:sz w:val="32"/>
          <w:szCs w:val="32"/>
          <w:highlight w:val="none"/>
          <w:shd w:val="clear" w:color="auto" w:fill="FFFFFF"/>
          <w:lang w:val="zh-CN" w:eastAsia="zh-CN"/>
        </w:rPr>
        <w:t>三、</w:t>
      </w:r>
      <w:r>
        <w:rPr>
          <w:rFonts w:hint="eastAsia" w:eastAsia="黑体" w:cs="Times New Roman"/>
          <w:color w:val="auto"/>
          <w:kern w:val="0"/>
          <w:sz w:val="32"/>
          <w:szCs w:val="32"/>
          <w:highlight w:val="none"/>
          <w:shd w:val="clear" w:color="auto" w:fill="FFFFFF"/>
          <w:lang w:val="zh-CN" w:eastAsia="zh-CN"/>
        </w:rPr>
        <w:t>单位</w:t>
      </w:r>
      <w:r>
        <w:rPr>
          <w:rFonts w:hint="default" w:ascii="Times New Roman" w:hAnsi="Times New Roman" w:eastAsia="黑体" w:cs="Times New Roman"/>
          <w:color w:val="auto"/>
          <w:kern w:val="0"/>
          <w:sz w:val="32"/>
          <w:szCs w:val="32"/>
          <w:highlight w:val="none"/>
          <w:shd w:val="clear" w:color="auto" w:fill="FFFFFF"/>
          <w:lang w:val="zh-CN" w:eastAsia="zh-CN"/>
        </w:rPr>
        <w:t>预算绩效分析</w:t>
      </w:r>
    </w:p>
    <w:p w14:paraId="11588477">
      <w:pPr>
        <w:keepNext w:val="0"/>
        <w:keepLines w:val="0"/>
        <w:pageBreakBefore w:val="0"/>
        <w:widowControl w:val="0"/>
        <w:numPr>
          <w:ilvl w:val="0"/>
          <w:numId w:val="0"/>
        </w:numPr>
        <w:kinsoku/>
        <w:wordWrap/>
        <w:overflowPunct/>
        <w:topLinePunct w:val="0"/>
        <w:autoSpaceDE/>
        <w:autoSpaceDN/>
        <w:bidi w:val="0"/>
        <w:adjustRightInd w:val="0"/>
        <w:snapToGrid w:val="0"/>
        <w:spacing w:line="578" w:lineRule="exact"/>
        <w:ind w:firstLine="643" w:firstLineChars="200"/>
        <w:contextualSpacing/>
        <w:jc w:val="left"/>
        <w:textAlignment w:val="auto"/>
        <w:outlineLvl w:val="9"/>
        <w:rPr>
          <w:rFonts w:hint="default" w:ascii="Times New Roman" w:hAnsi="Times New Roman" w:eastAsia="仿宋_GB2312" w:cs="仿宋_GB2312"/>
          <w:color w:val="auto"/>
          <w:kern w:val="2"/>
          <w:sz w:val="32"/>
          <w:szCs w:val="32"/>
          <w:highlight w:val="none"/>
          <w:lang w:val="zh-CN" w:eastAsia="zh-CN" w:bidi="ar-SA"/>
        </w:rPr>
      </w:pPr>
      <w:r>
        <w:rPr>
          <w:rFonts w:hint="default" w:ascii="Times New Roman" w:hAnsi="Times New Roman" w:eastAsia="楷体_GB2312" w:cs="Times New Roman"/>
          <w:b/>
          <w:bCs/>
          <w:color w:val="auto"/>
          <w:kern w:val="0"/>
          <w:sz w:val="32"/>
          <w:szCs w:val="32"/>
          <w:highlight w:val="none"/>
          <w:shd w:val="clear" w:color="auto" w:fill="FFFFFF"/>
          <w:lang w:val="zh-CN"/>
        </w:rPr>
        <w:t>（一）</w:t>
      </w:r>
      <w:r>
        <w:rPr>
          <w:rFonts w:hint="eastAsia" w:eastAsia="楷体_GB2312" w:cs="Times New Roman"/>
          <w:b/>
          <w:bCs/>
          <w:color w:val="auto"/>
          <w:kern w:val="0"/>
          <w:sz w:val="32"/>
          <w:szCs w:val="32"/>
          <w:highlight w:val="none"/>
          <w:shd w:val="clear" w:color="auto" w:fill="FFFFFF"/>
          <w:lang w:val="zh-CN"/>
        </w:rPr>
        <w:t>单位</w:t>
      </w:r>
      <w:r>
        <w:rPr>
          <w:rFonts w:hint="eastAsia" w:ascii="Times New Roman" w:hAnsi="Times New Roman" w:eastAsia="楷体_GB2312" w:cs="Times New Roman"/>
          <w:b/>
          <w:bCs/>
          <w:color w:val="auto"/>
          <w:kern w:val="0"/>
          <w:sz w:val="32"/>
          <w:szCs w:val="32"/>
          <w:highlight w:val="none"/>
          <w:shd w:val="clear" w:color="auto" w:fill="FFFFFF"/>
          <w:lang w:val="zh-CN"/>
        </w:rPr>
        <w:t>预算</w:t>
      </w:r>
      <w:r>
        <w:rPr>
          <w:rFonts w:hint="default" w:ascii="Times New Roman" w:hAnsi="Times New Roman" w:eastAsia="楷体_GB2312" w:cs="Times New Roman"/>
          <w:b/>
          <w:bCs/>
          <w:color w:val="auto"/>
          <w:kern w:val="0"/>
          <w:sz w:val="32"/>
          <w:szCs w:val="32"/>
          <w:highlight w:val="none"/>
          <w:shd w:val="clear" w:color="auto" w:fill="FFFFFF"/>
          <w:lang w:val="zh-CN"/>
        </w:rPr>
        <w:t>总体绩效分析。</w:t>
      </w:r>
      <w:r>
        <w:rPr>
          <w:rFonts w:hint="default" w:ascii="Times New Roman" w:hAnsi="Times New Roman" w:eastAsia="仿宋_GB2312" w:cs="仿宋_GB2312"/>
          <w:color w:val="auto"/>
          <w:kern w:val="2"/>
          <w:sz w:val="32"/>
          <w:szCs w:val="32"/>
          <w:highlight w:val="none"/>
          <w:lang w:val="zh-CN" w:eastAsia="zh-CN" w:bidi="ar-SA"/>
        </w:rPr>
        <w:t>根据</w:t>
      </w:r>
      <w:r>
        <w:rPr>
          <w:rFonts w:hint="eastAsia" w:eastAsia="仿宋_GB2312" w:cs="仿宋_GB2312"/>
          <w:color w:val="auto"/>
          <w:kern w:val="2"/>
          <w:sz w:val="32"/>
          <w:szCs w:val="32"/>
          <w:highlight w:val="none"/>
          <w:lang w:val="zh-CN" w:eastAsia="zh-CN" w:bidi="ar-SA"/>
        </w:rPr>
        <w:t>单位</w:t>
      </w:r>
      <w:r>
        <w:rPr>
          <w:rFonts w:hint="default" w:ascii="Times New Roman" w:hAnsi="Times New Roman" w:eastAsia="仿宋_GB2312" w:cs="仿宋_GB2312"/>
          <w:color w:val="auto"/>
          <w:kern w:val="2"/>
          <w:sz w:val="32"/>
          <w:szCs w:val="32"/>
          <w:highlight w:val="none"/>
          <w:lang w:val="zh-CN" w:eastAsia="zh-CN" w:bidi="ar-SA"/>
        </w:rPr>
        <w:t>预算绩效评价指标体系</w:t>
      </w:r>
      <w:r>
        <w:rPr>
          <w:rFonts w:hint="eastAsia" w:ascii="Times New Roman" w:hAnsi="Times New Roman" w:eastAsia="仿宋_GB2312" w:cs="仿宋_GB2312"/>
          <w:color w:val="auto"/>
          <w:kern w:val="2"/>
          <w:sz w:val="32"/>
          <w:szCs w:val="32"/>
          <w:highlight w:val="none"/>
          <w:lang w:val="zh-CN" w:eastAsia="zh-CN" w:bidi="ar-SA"/>
        </w:rPr>
        <w:t>“</w:t>
      </w:r>
      <w:r>
        <w:rPr>
          <w:rFonts w:hint="default" w:ascii="Times New Roman" w:hAnsi="Times New Roman" w:eastAsia="仿宋_GB2312" w:cs="仿宋_GB2312"/>
          <w:color w:val="auto"/>
          <w:kern w:val="2"/>
          <w:sz w:val="32"/>
          <w:szCs w:val="32"/>
          <w:highlight w:val="none"/>
          <w:lang w:val="zh-CN" w:eastAsia="zh-CN" w:bidi="ar-SA"/>
        </w:rPr>
        <w:t>总体绩效</w:t>
      </w:r>
      <w:r>
        <w:rPr>
          <w:rFonts w:hint="eastAsia" w:ascii="Times New Roman" w:hAnsi="Times New Roman" w:eastAsia="仿宋_GB2312" w:cs="仿宋_GB2312"/>
          <w:color w:val="auto"/>
          <w:kern w:val="2"/>
          <w:sz w:val="32"/>
          <w:szCs w:val="32"/>
          <w:highlight w:val="none"/>
          <w:lang w:val="zh-CN" w:eastAsia="zh-CN" w:bidi="ar-SA"/>
        </w:rPr>
        <w:t>”</w:t>
      </w:r>
      <w:r>
        <w:rPr>
          <w:rFonts w:hint="default" w:ascii="Times New Roman" w:hAnsi="Times New Roman" w:eastAsia="仿宋_GB2312" w:cs="仿宋_GB2312"/>
          <w:color w:val="auto"/>
          <w:kern w:val="2"/>
          <w:sz w:val="32"/>
          <w:szCs w:val="32"/>
          <w:highlight w:val="none"/>
          <w:lang w:val="zh-CN" w:eastAsia="zh-CN" w:bidi="ar-SA"/>
        </w:rPr>
        <w:t>涉及</w:t>
      </w:r>
      <w:r>
        <w:rPr>
          <w:rFonts w:hint="eastAsia" w:ascii="Times New Roman" w:hAnsi="Times New Roman" w:eastAsia="仿宋_GB2312" w:cs="仿宋_GB2312"/>
          <w:color w:val="auto"/>
          <w:kern w:val="2"/>
          <w:sz w:val="32"/>
          <w:szCs w:val="32"/>
          <w:highlight w:val="none"/>
          <w:lang w:val="zh-CN" w:eastAsia="zh-CN" w:bidi="ar-SA"/>
        </w:rPr>
        <w:t>二、三级</w:t>
      </w:r>
      <w:r>
        <w:rPr>
          <w:rFonts w:hint="default" w:ascii="Times New Roman" w:hAnsi="Times New Roman" w:eastAsia="仿宋_GB2312" w:cs="仿宋_GB2312"/>
          <w:color w:val="auto"/>
          <w:kern w:val="2"/>
          <w:sz w:val="32"/>
          <w:szCs w:val="32"/>
          <w:highlight w:val="none"/>
          <w:lang w:val="zh-CN" w:eastAsia="zh-CN" w:bidi="ar-SA"/>
        </w:rPr>
        <w:t>指标进行</w:t>
      </w:r>
      <w:r>
        <w:rPr>
          <w:rFonts w:hint="eastAsia" w:ascii="Times New Roman" w:hAnsi="Times New Roman" w:eastAsia="仿宋_GB2312" w:cs="仿宋_GB2312"/>
          <w:color w:val="auto"/>
          <w:kern w:val="2"/>
          <w:sz w:val="32"/>
          <w:szCs w:val="32"/>
          <w:highlight w:val="none"/>
          <w:lang w:val="zh-CN" w:eastAsia="zh-CN" w:bidi="ar-SA"/>
        </w:rPr>
        <w:t>逐项</w:t>
      </w:r>
      <w:r>
        <w:rPr>
          <w:rFonts w:hint="default" w:ascii="Times New Roman" w:hAnsi="Times New Roman" w:eastAsia="仿宋_GB2312" w:cs="仿宋_GB2312"/>
          <w:color w:val="auto"/>
          <w:kern w:val="2"/>
          <w:sz w:val="32"/>
          <w:szCs w:val="32"/>
          <w:highlight w:val="none"/>
          <w:lang w:val="zh-CN" w:eastAsia="zh-CN" w:bidi="ar-SA"/>
        </w:rPr>
        <w:t>绩效分析</w:t>
      </w:r>
      <w:r>
        <w:rPr>
          <w:rFonts w:hint="eastAsia" w:ascii="Times New Roman" w:hAnsi="Times New Roman" w:eastAsia="仿宋_GB2312" w:cs="仿宋_GB2312"/>
          <w:color w:val="auto"/>
          <w:kern w:val="2"/>
          <w:sz w:val="32"/>
          <w:szCs w:val="32"/>
          <w:highlight w:val="none"/>
          <w:lang w:val="zh-CN" w:eastAsia="zh-CN" w:bidi="ar-SA"/>
        </w:rPr>
        <w:t>并评分</w:t>
      </w:r>
      <w:r>
        <w:rPr>
          <w:rFonts w:hint="default" w:ascii="Times New Roman" w:hAnsi="Times New Roman" w:eastAsia="仿宋_GB2312" w:cs="仿宋_GB2312"/>
          <w:color w:val="auto"/>
          <w:kern w:val="2"/>
          <w:sz w:val="32"/>
          <w:szCs w:val="32"/>
          <w:highlight w:val="none"/>
          <w:lang w:val="zh-CN" w:eastAsia="zh-CN" w:bidi="ar-SA"/>
        </w:rPr>
        <w:t>，依次包括履职效能、预算管理、财务管理、资产管理、采购管理等情况。</w:t>
      </w:r>
    </w:p>
    <w:p w14:paraId="30766CA0">
      <w:pPr>
        <w:widowControl/>
        <w:adjustRightInd w:val="0"/>
        <w:snapToGrid w:val="0"/>
        <w:spacing w:line="580" w:lineRule="exact"/>
        <w:ind w:firstLine="640" w:firstLineChars="200"/>
        <w:contextualSpacing/>
        <w:jc w:val="left"/>
        <w:rPr>
          <w:rFonts w:hint="eastAsia" w:ascii="Times New Roman" w:hAnsi="Times New Roman" w:eastAsia="仿宋_GB2312" w:cs="仿宋_GB2312"/>
          <w:color w:val="auto"/>
          <w:kern w:val="2"/>
          <w:sz w:val="32"/>
          <w:szCs w:val="32"/>
          <w:highlight w:val="none"/>
          <w:lang w:val="zh-CN" w:eastAsia="zh-CN" w:bidi="ar-SA"/>
        </w:rPr>
      </w:pPr>
      <w:r>
        <w:rPr>
          <w:rFonts w:hint="eastAsia" w:ascii="Times New Roman" w:hAnsi="Times New Roman" w:eastAsia="仿宋_GB2312" w:cs="仿宋_GB2312"/>
          <w:color w:val="auto"/>
          <w:kern w:val="2"/>
          <w:sz w:val="32"/>
          <w:szCs w:val="32"/>
          <w:highlight w:val="none"/>
          <w:lang w:val="en-US" w:eastAsia="zh-CN" w:bidi="ar-SA"/>
        </w:rPr>
        <w:t>1.</w:t>
      </w:r>
      <w:r>
        <w:rPr>
          <w:rFonts w:hint="eastAsia" w:ascii="Times New Roman" w:hAnsi="Times New Roman" w:eastAsia="仿宋_GB2312" w:cs="仿宋_GB2312"/>
          <w:color w:val="auto"/>
          <w:kern w:val="2"/>
          <w:sz w:val="32"/>
          <w:szCs w:val="32"/>
          <w:highlight w:val="none"/>
          <w:lang w:val="zh-CN" w:eastAsia="zh-CN" w:bidi="ar-SA"/>
        </w:rPr>
        <w:t>履职效能。</w:t>
      </w:r>
    </w:p>
    <w:p w14:paraId="33453CBC">
      <w:pPr>
        <w:widowControl/>
        <w:adjustRightInd w:val="0"/>
        <w:snapToGrid w:val="0"/>
        <w:spacing w:line="580" w:lineRule="exact"/>
        <w:ind w:firstLine="640" w:firstLineChars="200"/>
        <w:contextualSpacing/>
        <w:jc w:val="left"/>
        <w:rPr>
          <w:rFonts w:hint="eastAsia" w:ascii="仿宋_GB2312" w:hAnsi="宋体" w:eastAsia="仿宋_GB2312" w:cs="宋体"/>
          <w:color w:val="auto"/>
          <w:kern w:val="0"/>
          <w:sz w:val="32"/>
          <w:szCs w:val="32"/>
          <w:shd w:val="clear" w:color="auto" w:fill="FFFFFF"/>
          <w:lang w:val="zh-CN"/>
        </w:rPr>
      </w:pPr>
      <w:r>
        <w:rPr>
          <w:rFonts w:hint="eastAsia" w:ascii="仿宋_GB2312" w:hAnsi="宋体" w:eastAsia="仿宋_GB2312" w:cs="宋体"/>
          <w:color w:val="auto"/>
          <w:kern w:val="0"/>
          <w:sz w:val="32"/>
          <w:szCs w:val="32"/>
          <w:shd w:val="clear" w:color="auto" w:fill="FFFFFF"/>
          <w:lang w:val="zh-CN"/>
        </w:rPr>
        <w:t>2024年我中心单位预算的编制按区财政局的要求,精打细算,严格控制,全年预算支出</w:t>
      </w:r>
      <w:r>
        <w:rPr>
          <w:rFonts w:hint="eastAsia" w:ascii="仿宋_GB2312" w:hAnsi="宋体" w:eastAsia="仿宋_GB2312" w:cs="宋体"/>
          <w:color w:val="auto"/>
          <w:kern w:val="0"/>
          <w:sz w:val="32"/>
          <w:szCs w:val="32"/>
          <w:shd w:val="clear" w:color="auto" w:fill="FFFFFF"/>
          <w:lang w:val="en-US" w:eastAsia="zh-CN"/>
        </w:rPr>
        <w:t>332.31万</w:t>
      </w:r>
      <w:r>
        <w:rPr>
          <w:rFonts w:hint="eastAsia" w:ascii="仿宋_GB2312" w:hAnsi="宋体" w:eastAsia="仿宋_GB2312" w:cs="宋体"/>
          <w:color w:val="auto"/>
          <w:kern w:val="0"/>
          <w:sz w:val="32"/>
          <w:szCs w:val="32"/>
          <w:shd w:val="clear" w:color="auto" w:fill="FFFFFF"/>
          <w:lang w:val="zh-CN"/>
        </w:rPr>
        <w:t>元。其中:基本支出预算</w:t>
      </w:r>
      <w:r>
        <w:rPr>
          <w:rFonts w:hint="eastAsia" w:ascii="仿宋_GB2312" w:hAnsi="宋体" w:eastAsia="仿宋_GB2312" w:cs="宋体"/>
          <w:color w:val="auto"/>
          <w:kern w:val="0"/>
          <w:sz w:val="32"/>
          <w:szCs w:val="32"/>
          <w:shd w:val="clear" w:color="auto" w:fill="FFFFFF"/>
          <w:lang w:val="en-US" w:eastAsia="zh-CN"/>
        </w:rPr>
        <w:t>148.51万</w:t>
      </w:r>
      <w:r>
        <w:rPr>
          <w:rFonts w:hint="eastAsia" w:ascii="仿宋_GB2312" w:hAnsi="宋体" w:eastAsia="仿宋_GB2312" w:cs="宋体"/>
          <w:color w:val="auto"/>
          <w:kern w:val="0"/>
          <w:sz w:val="32"/>
          <w:szCs w:val="32"/>
          <w:shd w:val="clear" w:color="auto" w:fill="FFFFFF"/>
          <w:lang w:val="zh-CN"/>
        </w:rPr>
        <w:t>元;项目支出预算</w:t>
      </w:r>
      <w:r>
        <w:rPr>
          <w:rFonts w:hint="eastAsia" w:ascii="仿宋_GB2312" w:hAnsi="宋体" w:eastAsia="仿宋_GB2312" w:cs="宋体"/>
          <w:color w:val="auto"/>
          <w:kern w:val="0"/>
          <w:sz w:val="32"/>
          <w:szCs w:val="32"/>
          <w:shd w:val="clear" w:color="auto" w:fill="FFFFFF"/>
          <w:lang w:val="en-US" w:eastAsia="zh-CN"/>
        </w:rPr>
        <w:t>183.8万元。优质高效完成区级政策性储备原粮、成品大米、菜籽油轮换保管工作。会同区发改局、区财政局、农发行峨眉支行下达了年度1000吨县级储备稻谷、100吨成品大米轮换计划，截至目前，已督促指导国有承储企业全面完成轮换计划并通过验收转为政府政策性储备。并开展涉粮安全联合执法。由区发改局牵头，区市场监督管理局、区粮食和物资储备中心配合，印发了2024年涉粮安全联合执法工作方案，对全区社会面20余家大米、面粉、成品油经营、加工企业和个体工商户进行全覆盖检查，发放食品安全宣传单500余份，移交市场监督单位线索4条。按时发放机构人员工资、退休人员慰问金以及支付厂房租赁费用，保证机构日常运转。</w:t>
      </w:r>
    </w:p>
    <w:p w14:paraId="1A43D03C">
      <w:pPr>
        <w:widowControl/>
        <w:numPr>
          <w:ilvl w:val="0"/>
          <w:numId w:val="0"/>
        </w:numPr>
        <w:adjustRightInd w:val="0"/>
        <w:snapToGrid w:val="0"/>
        <w:spacing w:line="580" w:lineRule="exact"/>
        <w:ind w:left="640" w:leftChars="0"/>
        <w:contextualSpacing/>
        <w:jc w:val="left"/>
        <w:rPr>
          <w:rFonts w:hint="eastAsia" w:ascii="Times New Roman" w:hAnsi="Times New Roman" w:eastAsia="仿宋_GB2312" w:cs="仿宋_GB2312"/>
          <w:color w:val="auto"/>
          <w:kern w:val="2"/>
          <w:sz w:val="32"/>
          <w:szCs w:val="32"/>
          <w:highlight w:val="none"/>
          <w:lang w:val="zh-CN" w:eastAsia="zh-CN" w:bidi="ar-SA"/>
        </w:rPr>
      </w:pPr>
      <w:r>
        <w:rPr>
          <w:rFonts w:hint="eastAsia" w:eastAsia="仿宋_GB2312" w:cs="仿宋_GB2312"/>
          <w:color w:val="auto"/>
          <w:kern w:val="2"/>
          <w:sz w:val="32"/>
          <w:szCs w:val="32"/>
          <w:highlight w:val="none"/>
          <w:lang w:val="en-US" w:eastAsia="zh-CN" w:bidi="ar-SA"/>
        </w:rPr>
        <w:t>2.</w:t>
      </w:r>
      <w:r>
        <w:rPr>
          <w:rFonts w:hint="default" w:ascii="Times New Roman" w:hAnsi="Times New Roman" w:eastAsia="仿宋_GB2312" w:cs="仿宋_GB2312"/>
          <w:color w:val="auto"/>
          <w:kern w:val="2"/>
          <w:sz w:val="32"/>
          <w:szCs w:val="32"/>
          <w:highlight w:val="none"/>
          <w:lang w:val="zh-CN" w:eastAsia="zh-CN" w:bidi="ar-SA"/>
        </w:rPr>
        <w:t>预算管理</w:t>
      </w:r>
      <w:r>
        <w:rPr>
          <w:rFonts w:hint="eastAsia" w:ascii="Times New Roman" w:hAnsi="Times New Roman" w:eastAsia="仿宋_GB2312" w:cs="仿宋_GB2312"/>
          <w:color w:val="auto"/>
          <w:kern w:val="2"/>
          <w:sz w:val="32"/>
          <w:szCs w:val="32"/>
          <w:highlight w:val="none"/>
          <w:lang w:val="zh-CN" w:eastAsia="zh-CN" w:bidi="ar-SA"/>
        </w:rPr>
        <w:t>。</w:t>
      </w:r>
    </w:p>
    <w:p w14:paraId="297DA474">
      <w:pPr>
        <w:widowControl/>
        <w:numPr>
          <w:ilvl w:val="0"/>
          <w:numId w:val="0"/>
        </w:numPr>
        <w:adjustRightInd w:val="0"/>
        <w:snapToGrid w:val="0"/>
        <w:spacing w:line="580" w:lineRule="exact"/>
        <w:ind w:firstLine="640" w:firstLineChars="200"/>
        <w:contextualSpacing/>
        <w:jc w:val="left"/>
        <w:rPr>
          <w:rFonts w:hint="eastAsia" w:ascii="Times New Roman" w:hAnsi="Times New Roman" w:eastAsia="仿宋_GB2312" w:cs="仿宋_GB2312"/>
          <w:color w:val="auto"/>
          <w:kern w:val="2"/>
          <w:sz w:val="32"/>
          <w:szCs w:val="32"/>
          <w:highlight w:val="none"/>
          <w:lang w:val="zh-CN" w:eastAsia="zh-CN" w:bidi="ar-SA"/>
        </w:rPr>
      </w:pPr>
      <w:r>
        <w:rPr>
          <w:rFonts w:hint="eastAsia" w:ascii="仿宋_GB2312" w:hAnsi="宋体" w:eastAsia="仿宋_GB2312" w:cs="宋体"/>
          <w:color w:val="auto"/>
          <w:kern w:val="0"/>
          <w:sz w:val="32"/>
          <w:szCs w:val="32"/>
          <w:shd w:val="clear" w:color="auto" w:fill="FFFFFF"/>
          <w:lang w:val="en-US" w:eastAsia="zh-CN"/>
        </w:rPr>
        <w:t>2024年我中心</w:t>
      </w:r>
      <w:r>
        <w:rPr>
          <w:rFonts w:hint="eastAsia" w:ascii="仿宋_GB2312" w:hAnsi="宋体" w:eastAsia="仿宋_GB2312" w:cs="宋体"/>
          <w:color w:val="auto"/>
          <w:kern w:val="0"/>
          <w:sz w:val="32"/>
          <w:szCs w:val="32"/>
          <w:shd w:val="clear" w:color="auto" w:fill="FFFFFF"/>
          <w:lang w:val="zh-CN" w:eastAsia="zh-CN"/>
        </w:rPr>
        <w:t>特定目标类项目有：100</w:t>
      </w:r>
      <w:r>
        <w:rPr>
          <w:rFonts w:hint="eastAsia" w:ascii="仿宋_GB2312" w:hAnsi="宋体" w:eastAsia="仿宋_GB2312" w:cs="宋体"/>
          <w:color w:val="auto"/>
          <w:kern w:val="0"/>
          <w:sz w:val="32"/>
          <w:szCs w:val="32"/>
          <w:shd w:val="clear" w:color="auto" w:fill="FFFFFF"/>
          <w:lang w:val="zh-CN"/>
        </w:rPr>
        <w:t>吨大米轮换采购资金</w:t>
      </w:r>
      <w:r>
        <w:rPr>
          <w:rFonts w:hint="eastAsia" w:ascii="仿宋_GB2312" w:hAnsi="宋体" w:eastAsia="仿宋_GB2312" w:cs="宋体"/>
          <w:color w:val="auto"/>
          <w:kern w:val="0"/>
          <w:sz w:val="32"/>
          <w:szCs w:val="32"/>
          <w:shd w:val="clear" w:color="auto" w:fill="FFFFFF"/>
          <w:lang w:val="en-US" w:eastAsia="zh-CN"/>
        </w:rPr>
        <w:t>80</w:t>
      </w:r>
      <w:r>
        <w:rPr>
          <w:rFonts w:hint="eastAsia" w:ascii="仿宋_GB2312" w:hAnsi="宋体" w:eastAsia="仿宋_GB2312" w:cs="宋体"/>
          <w:color w:val="auto"/>
          <w:kern w:val="0"/>
          <w:sz w:val="32"/>
          <w:szCs w:val="32"/>
          <w:shd w:val="clear" w:color="auto" w:fill="FFFFFF"/>
          <w:lang w:val="zh-CN"/>
        </w:rPr>
        <w:t>万元;退休人员事务</w:t>
      </w:r>
      <w:r>
        <w:rPr>
          <w:rFonts w:hint="eastAsia" w:ascii="仿宋_GB2312" w:hAnsi="宋体" w:eastAsia="仿宋_GB2312" w:cs="宋体"/>
          <w:color w:val="auto"/>
          <w:kern w:val="0"/>
          <w:sz w:val="32"/>
          <w:szCs w:val="32"/>
          <w:shd w:val="clear" w:color="auto" w:fill="FFFFFF"/>
          <w:lang w:val="en-US" w:eastAsia="zh-CN"/>
        </w:rPr>
        <w:t>3.5万</w:t>
      </w:r>
      <w:r>
        <w:rPr>
          <w:rFonts w:hint="eastAsia" w:ascii="仿宋_GB2312" w:hAnsi="宋体" w:eastAsia="仿宋_GB2312" w:cs="宋体"/>
          <w:color w:val="auto"/>
          <w:kern w:val="0"/>
          <w:sz w:val="32"/>
          <w:szCs w:val="32"/>
          <w:shd w:val="clear" w:color="auto" w:fill="FFFFFF"/>
          <w:lang w:val="zh-CN"/>
        </w:rPr>
        <w:t>元；储备粮油费用补贴</w:t>
      </w:r>
      <w:r>
        <w:rPr>
          <w:rFonts w:hint="eastAsia" w:ascii="仿宋_GB2312" w:hAnsi="宋体" w:eastAsia="仿宋_GB2312" w:cs="宋体"/>
          <w:color w:val="auto"/>
          <w:kern w:val="0"/>
          <w:sz w:val="32"/>
          <w:szCs w:val="32"/>
          <w:shd w:val="clear" w:color="auto" w:fill="FFFFFF"/>
          <w:lang w:val="en-US" w:eastAsia="zh-CN"/>
        </w:rPr>
        <w:t>70.5</w:t>
      </w:r>
      <w:r>
        <w:rPr>
          <w:rFonts w:hint="eastAsia" w:ascii="仿宋_GB2312" w:hAnsi="宋体" w:eastAsia="仿宋_GB2312" w:cs="宋体"/>
          <w:color w:val="auto"/>
          <w:kern w:val="0"/>
          <w:sz w:val="32"/>
          <w:szCs w:val="32"/>
          <w:shd w:val="clear" w:color="auto" w:fill="FFFFFF"/>
          <w:lang w:val="zh-CN"/>
        </w:rPr>
        <w:t>万元；10吨成品油轮换采购资金及保管费</w:t>
      </w:r>
      <w:r>
        <w:rPr>
          <w:rFonts w:hint="eastAsia" w:ascii="仿宋_GB2312" w:hAnsi="宋体" w:eastAsia="仿宋_GB2312" w:cs="宋体"/>
          <w:color w:val="auto"/>
          <w:kern w:val="0"/>
          <w:sz w:val="32"/>
          <w:szCs w:val="32"/>
          <w:shd w:val="clear" w:color="auto" w:fill="FFFFFF"/>
          <w:lang w:val="en-US" w:eastAsia="zh-CN"/>
        </w:rPr>
        <w:t>16.6</w:t>
      </w:r>
      <w:r>
        <w:rPr>
          <w:rFonts w:hint="eastAsia" w:ascii="仿宋_GB2312" w:hAnsi="宋体" w:eastAsia="仿宋_GB2312" w:cs="宋体"/>
          <w:color w:val="auto"/>
          <w:kern w:val="0"/>
          <w:sz w:val="32"/>
          <w:szCs w:val="32"/>
          <w:shd w:val="clear" w:color="auto" w:fill="FFFFFF"/>
          <w:lang w:val="zh-CN"/>
        </w:rPr>
        <w:t>万元；100吨大米保管费用</w:t>
      </w:r>
      <w:r>
        <w:rPr>
          <w:rFonts w:hint="eastAsia" w:ascii="仿宋_GB2312" w:hAnsi="宋体" w:eastAsia="仿宋_GB2312" w:cs="宋体"/>
          <w:color w:val="auto"/>
          <w:kern w:val="0"/>
          <w:sz w:val="32"/>
          <w:szCs w:val="32"/>
          <w:shd w:val="clear" w:color="auto" w:fill="FFFFFF"/>
          <w:lang w:val="en-US" w:eastAsia="zh-CN"/>
        </w:rPr>
        <w:t>2.2</w:t>
      </w:r>
      <w:r>
        <w:rPr>
          <w:rFonts w:hint="eastAsia" w:ascii="仿宋_GB2312" w:hAnsi="宋体" w:eastAsia="仿宋_GB2312" w:cs="宋体"/>
          <w:color w:val="auto"/>
          <w:kern w:val="0"/>
          <w:sz w:val="32"/>
          <w:szCs w:val="32"/>
          <w:shd w:val="clear" w:color="auto" w:fill="FFFFFF"/>
          <w:lang w:val="zh-CN"/>
        </w:rPr>
        <w:t>万元</w:t>
      </w:r>
      <w:r>
        <w:rPr>
          <w:rFonts w:hint="eastAsia" w:ascii="仿宋_GB2312" w:hAnsi="宋体" w:eastAsia="仿宋_GB2312" w:cs="宋体"/>
          <w:color w:val="auto"/>
          <w:kern w:val="0"/>
          <w:sz w:val="32"/>
          <w:szCs w:val="32"/>
          <w:shd w:val="clear" w:color="auto" w:fill="FFFFFF"/>
          <w:lang w:val="en-US" w:eastAsia="zh-CN"/>
        </w:rPr>
        <w:t>;物资储备保管费用3万元；粮食执法经费3</w:t>
      </w:r>
      <w:r>
        <w:rPr>
          <w:rFonts w:hint="eastAsia" w:ascii="仿宋_GB2312" w:hAnsi="宋体" w:eastAsia="仿宋_GB2312" w:cs="宋体"/>
          <w:color w:val="auto"/>
          <w:kern w:val="0"/>
          <w:sz w:val="32"/>
          <w:szCs w:val="32"/>
          <w:shd w:val="clear" w:color="auto" w:fill="FFFFFF"/>
          <w:lang w:val="zh-CN"/>
        </w:rPr>
        <w:t>万元</w:t>
      </w:r>
      <w:r>
        <w:rPr>
          <w:rFonts w:hint="eastAsia" w:ascii="仿宋_GB2312" w:hAnsi="宋体" w:eastAsia="仿宋_GB2312" w:cs="宋体"/>
          <w:color w:val="auto"/>
          <w:kern w:val="0"/>
          <w:sz w:val="32"/>
          <w:szCs w:val="32"/>
          <w:shd w:val="clear" w:color="auto" w:fill="FFFFFF"/>
          <w:lang w:val="en-US" w:eastAsia="zh-CN"/>
        </w:rPr>
        <w:t>;储备库租金5万元。预算执行均为100%。严格执行每月，每季度定期支出计划，办公室每月收集当月财政经费支出情况，落实预算执行主体责任确保支出进度符合财政要求。8个特定项目执行进度100%、预算完成情况100%，资金结余率0。</w:t>
      </w:r>
    </w:p>
    <w:p w14:paraId="049A635C">
      <w:pPr>
        <w:keepNext w:val="0"/>
        <w:keepLines w:val="0"/>
        <w:pageBreakBefore w:val="0"/>
        <w:widowControl w:val="0"/>
        <w:numPr>
          <w:ilvl w:val="0"/>
          <w:numId w:val="0"/>
        </w:numPr>
        <w:kinsoku/>
        <w:wordWrap/>
        <w:overflowPunct/>
        <w:topLinePunct w:val="0"/>
        <w:autoSpaceDE/>
        <w:autoSpaceDN/>
        <w:bidi w:val="0"/>
        <w:adjustRightInd w:val="0"/>
        <w:snapToGrid w:val="0"/>
        <w:spacing w:line="578" w:lineRule="exact"/>
        <w:ind w:left="640" w:leftChars="0"/>
        <w:contextualSpacing/>
        <w:jc w:val="left"/>
        <w:textAlignment w:val="auto"/>
        <w:outlineLvl w:val="9"/>
        <w:rPr>
          <w:rFonts w:hint="eastAsia" w:ascii="Times New Roman" w:hAnsi="Times New Roman" w:eastAsia="仿宋_GB2312" w:cs="仿宋_GB2312"/>
          <w:color w:val="auto"/>
          <w:kern w:val="2"/>
          <w:sz w:val="32"/>
          <w:szCs w:val="32"/>
          <w:highlight w:val="none"/>
          <w:lang w:val="zh-CN" w:eastAsia="zh-CN" w:bidi="ar-SA"/>
        </w:rPr>
      </w:pPr>
      <w:r>
        <w:rPr>
          <w:rFonts w:hint="eastAsia" w:eastAsia="仿宋_GB2312" w:cs="仿宋_GB2312"/>
          <w:color w:val="auto"/>
          <w:kern w:val="2"/>
          <w:sz w:val="32"/>
          <w:szCs w:val="32"/>
          <w:highlight w:val="none"/>
          <w:lang w:val="en-US" w:eastAsia="zh-CN" w:bidi="ar-SA"/>
        </w:rPr>
        <w:t>3.</w:t>
      </w:r>
      <w:r>
        <w:rPr>
          <w:rFonts w:hint="default" w:ascii="Times New Roman" w:hAnsi="Times New Roman" w:eastAsia="仿宋_GB2312" w:cs="仿宋_GB2312"/>
          <w:color w:val="auto"/>
          <w:kern w:val="2"/>
          <w:sz w:val="32"/>
          <w:szCs w:val="32"/>
          <w:highlight w:val="none"/>
          <w:lang w:val="zh-CN" w:eastAsia="zh-CN" w:bidi="ar-SA"/>
        </w:rPr>
        <w:t>财务管理</w:t>
      </w:r>
      <w:r>
        <w:rPr>
          <w:rFonts w:hint="eastAsia" w:ascii="Times New Roman" w:hAnsi="Times New Roman" w:eastAsia="仿宋_GB2312" w:cs="仿宋_GB2312"/>
          <w:color w:val="auto"/>
          <w:kern w:val="2"/>
          <w:sz w:val="32"/>
          <w:szCs w:val="32"/>
          <w:highlight w:val="none"/>
          <w:lang w:val="zh-CN" w:eastAsia="zh-CN" w:bidi="ar-SA"/>
        </w:rPr>
        <w:t>。</w:t>
      </w:r>
    </w:p>
    <w:p w14:paraId="60D6A0E7">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i w:val="0"/>
          <w:iCs w:val="0"/>
          <w:caps w:val="0"/>
          <w:color w:val="auto"/>
          <w:spacing w:val="0"/>
          <w:kern w:val="0"/>
          <w:sz w:val="32"/>
          <w:szCs w:val="32"/>
          <w:lang w:val="en-US" w:eastAsia="zh-CN" w:bidi="ar"/>
        </w:rPr>
      </w:pPr>
      <w:r>
        <w:rPr>
          <w:rFonts w:hint="eastAsia" w:ascii="仿宋_GB2312" w:hAnsi="仿宋_GB2312" w:eastAsia="仿宋_GB2312" w:cs="仿宋_GB2312"/>
          <w:i w:val="0"/>
          <w:iCs w:val="0"/>
          <w:caps w:val="0"/>
          <w:color w:val="auto"/>
          <w:spacing w:val="0"/>
          <w:kern w:val="0"/>
          <w:sz w:val="32"/>
          <w:szCs w:val="32"/>
          <w:lang w:val="en-US" w:eastAsia="zh-CN" w:bidi="ar"/>
        </w:rPr>
        <w:t>财务管理制度、会计核算及账务处理按本单位财务管理制度，会计核算办法及账务处理办法执行，财务处理及时，会计核算规范。</w:t>
      </w:r>
    </w:p>
    <w:p w14:paraId="5D1FB7A7">
      <w:pPr>
        <w:numPr>
          <w:ilvl w:val="0"/>
          <w:numId w:val="0"/>
        </w:numPr>
        <w:spacing w:line="360" w:lineRule="auto"/>
        <w:ind w:firstLine="640" w:firstLineChars="200"/>
        <w:jc w:val="left"/>
        <w:rPr>
          <w:rFonts w:hint="eastAsia" w:ascii="Times New Roman" w:hAnsi="Times New Roman" w:eastAsia="仿宋_GB2312" w:cs="仿宋_GB2312"/>
          <w:color w:val="auto"/>
          <w:kern w:val="2"/>
          <w:sz w:val="32"/>
          <w:szCs w:val="32"/>
          <w:highlight w:val="none"/>
          <w:lang w:val="zh-CN" w:eastAsia="zh-CN" w:bidi="ar-SA"/>
        </w:rPr>
      </w:pPr>
      <w:r>
        <w:rPr>
          <w:rFonts w:hint="eastAsia" w:eastAsia="仿宋_GB2312" w:cs="仿宋_GB2312"/>
          <w:color w:val="auto"/>
          <w:kern w:val="2"/>
          <w:sz w:val="32"/>
          <w:szCs w:val="32"/>
          <w:highlight w:val="none"/>
          <w:lang w:val="en-US" w:eastAsia="zh-CN" w:bidi="ar-SA"/>
        </w:rPr>
        <w:t>4.</w:t>
      </w:r>
      <w:r>
        <w:rPr>
          <w:rFonts w:hint="default" w:ascii="Times New Roman" w:hAnsi="Times New Roman" w:eastAsia="仿宋_GB2312" w:cs="仿宋_GB2312"/>
          <w:color w:val="auto"/>
          <w:kern w:val="2"/>
          <w:sz w:val="32"/>
          <w:szCs w:val="32"/>
          <w:highlight w:val="none"/>
          <w:lang w:val="zh-CN" w:eastAsia="zh-CN" w:bidi="ar-SA"/>
        </w:rPr>
        <w:t>资产管理</w:t>
      </w:r>
      <w:r>
        <w:rPr>
          <w:rFonts w:hint="eastAsia" w:ascii="Times New Roman" w:hAnsi="Times New Roman" w:eastAsia="仿宋_GB2312" w:cs="仿宋_GB2312"/>
          <w:color w:val="auto"/>
          <w:kern w:val="2"/>
          <w:sz w:val="32"/>
          <w:szCs w:val="32"/>
          <w:highlight w:val="none"/>
          <w:lang w:val="zh-CN" w:eastAsia="zh-CN" w:bidi="ar-SA"/>
        </w:rPr>
        <w:t>。</w:t>
      </w:r>
    </w:p>
    <w:p w14:paraId="0E4CF873">
      <w:pPr>
        <w:numPr>
          <w:ilvl w:val="0"/>
          <w:numId w:val="0"/>
        </w:numPr>
        <w:spacing w:line="360" w:lineRule="auto"/>
        <w:ind w:firstLine="600" w:firstLineChars="200"/>
        <w:jc w:val="left"/>
        <w:rPr>
          <w:rFonts w:hint="eastAsia" w:ascii="Times New Roman" w:hAnsi="Times New Roman" w:eastAsia="仿宋_GB2312" w:cs="仿宋_GB2312"/>
          <w:color w:val="auto"/>
          <w:kern w:val="2"/>
          <w:sz w:val="32"/>
          <w:szCs w:val="32"/>
          <w:highlight w:val="none"/>
          <w:lang w:val="zh-CN" w:eastAsia="zh-CN" w:bidi="ar-SA"/>
        </w:rPr>
      </w:pPr>
      <w:r>
        <w:rPr>
          <w:rFonts w:hint="eastAsia" w:ascii="仿宋" w:hAnsi="仿宋" w:eastAsia="仿宋" w:cs="Times New Roman"/>
          <w:color w:val="auto"/>
          <w:sz w:val="30"/>
          <w:szCs w:val="30"/>
          <w:lang w:val="en-US" w:eastAsia="zh-CN"/>
        </w:rPr>
        <w:t>一是加强会计核算工作。严格执行现行固定资产管理制度，对已完工的基建工程、购入的固定资产、收到的捐赠资产等及时入账，并按照数量、金额登记明细账，编制固定资产卡片，确保账面上能真实、完整的反映单位的固定资产情况，并结合本单位的实际情况，完善固定资产管理制度。二是加强程序管理。对纳入政府采购目录范围内的资产采购，必须报政府采购中心进行政府采购；未纳入政府采购目录范围内的资产采购，采用其他形式采购。未纳入预算的固定资产，不得随意采购，确需急用，必须经相关单位批准。三是加强内部监督。定期或不定期的对固定资产进行抽查。检查固定资产的购置、领用、处置等程序是否合规，账实是否相符等，防止国有资产的流失。</w:t>
      </w:r>
    </w:p>
    <w:p w14:paraId="28047A49">
      <w:pPr>
        <w:keepNext w:val="0"/>
        <w:keepLines w:val="0"/>
        <w:pageBreakBefore w:val="0"/>
        <w:widowControl w:val="0"/>
        <w:numPr>
          <w:ilvl w:val="0"/>
          <w:numId w:val="0"/>
        </w:numPr>
        <w:kinsoku/>
        <w:wordWrap/>
        <w:overflowPunct/>
        <w:topLinePunct w:val="0"/>
        <w:autoSpaceDE/>
        <w:autoSpaceDN/>
        <w:bidi w:val="0"/>
        <w:adjustRightInd w:val="0"/>
        <w:snapToGrid w:val="0"/>
        <w:spacing w:line="578" w:lineRule="exact"/>
        <w:ind w:firstLine="643" w:firstLineChars="200"/>
        <w:contextualSpacing/>
        <w:jc w:val="both"/>
        <w:textAlignment w:val="auto"/>
        <w:outlineLvl w:val="9"/>
        <w:rPr>
          <w:rFonts w:hint="default" w:ascii="Times New Roman" w:hAnsi="Times New Roman" w:eastAsia="仿宋_GB2312" w:cs="仿宋_GB2312"/>
          <w:color w:val="auto"/>
          <w:kern w:val="2"/>
          <w:sz w:val="32"/>
          <w:szCs w:val="32"/>
          <w:highlight w:val="none"/>
          <w:lang w:val="zh-CN" w:eastAsia="zh-CN" w:bidi="ar-SA"/>
        </w:rPr>
      </w:pPr>
      <w:r>
        <w:rPr>
          <w:rFonts w:hint="default" w:ascii="Times New Roman" w:hAnsi="Times New Roman" w:eastAsia="楷体_GB2312" w:cs="Times New Roman"/>
          <w:b/>
          <w:bCs/>
          <w:color w:val="auto"/>
          <w:kern w:val="0"/>
          <w:sz w:val="32"/>
          <w:szCs w:val="32"/>
          <w:highlight w:val="none"/>
          <w:shd w:val="clear" w:color="auto" w:fill="FFFFFF"/>
          <w:lang w:val="zh-CN"/>
        </w:rPr>
        <w:t>（二）</w:t>
      </w:r>
      <w:r>
        <w:rPr>
          <w:rFonts w:hint="eastAsia" w:eastAsia="楷体_GB2312" w:cs="Times New Roman"/>
          <w:b/>
          <w:bCs/>
          <w:color w:val="auto"/>
          <w:kern w:val="0"/>
          <w:sz w:val="32"/>
          <w:szCs w:val="32"/>
          <w:highlight w:val="none"/>
          <w:shd w:val="clear" w:color="auto" w:fill="FFFFFF"/>
          <w:lang w:val="zh-CN"/>
        </w:rPr>
        <w:t>单位</w:t>
      </w:r>
      <w:r>
        <w:rPr>
          <w:rFonts w:hint="default" w:ascii="Times New Roman" w:hAnsi="Times New Roman" w:eastAsia="楷体_GB2312" w:cs="Times New Roman"/>
          <w:b/>
          <w:bCs/>
          <w:color w:val="auto"/>
          <w:kern w:val="0"/>
          <w:sz w:val="32"/>
          <w:szCs w:val="32"/>
          <w:highlight w:val="none"/>
          <w:shd w:val="clear" w:color="auto" w:fill="FFFFFF"/>
          <w:lang w:val="zh-CN"/>
        </w:rPr>
        <w:t>预算项目绩效分析。</w:t>
      </w:r>
    </w:p>
    <w:p w14:paraId="297E96C8">
      <w:pPr>
        <w:widowControl/>
        <w:numPr>
          <w:ilvl w:val="0"/>
          <w:numId w:val="0"/>
        </w:numPr>
        <w:adjustRightInd w:val="0"/>
        <w:snapToGrid w:val="0"/>
        <w:spacing w:line="580" w:lineRule="exact"/>
        <w:ind w:firstLine="640" w:firstLineChars="200"/>
        <w:contextualSpacing/>
        <w:jc w:val="left"/>
        <w:rPr>
          <w:rFonts w:hint="eastAsia" w:ascii="Times New Roman" w:hAnsi="Times New Roman" w:eastAsia="仿宋_GB2312" w:cs="仿宋_GB2312"/>
          <w:color w:val="auto"/>
          <w:kern w:val="2"/>
          <w:sz w:val="32"/>
          <w:szCs w:val="32"/>
          <w:highlight w:val="none"/>
          <w:lang w:val="zh-CN" w:eastAsia="zh-CN" w:bidi="ar-SA"/>
        </w:rPr>
      </w:pPr>
      <w:r>
        <w:rPr>
          <w:rFonts w:hint="eastAsia" w:eastAsia="仿宋_GB2312" w:cs="仿宋_GB2312"/>
          <w:color w:val="auto"/>
          <w:kern w:val="2"/>
          <w:sz w:val="32"/>
          <w:szCs w:val="32"/>
          <w:highlight w:val="none"/>
          <w:lang w:val="en-US" w:eastAsia="zh-CN" w:bidi="ar-SA"/>
        </w:rPr>
        <w:t>1.</w:t>
      </w:r>
      <w:r>
        <w:rPr>
          <w:rFonts w:hint="eastAsia" w:ascii="Times New Roman" w:hAnsi="Times New Roman" w:eastAsia="仿宋_GB2312" w:cs="仿宋_GB2312"/>
          <w:color w:val="auto"/>
          <w:kern w:val="2"/>
          <w:sz w:val="32"/>
          <w:szCs w:val="32"/>
          <w:highlight w:val="none"/>
          <w:lang w:val="zh-CN" w:eastAsia="zh-CN" w:bidi="ar-SA"/>
        </w:rPr>
        <w:t>项目决策。</w:t>
      </w:r>
    </w:p>
    <w:p w14:paraId="3464EF61">
      <w:pPr>
        <w:widowControl/>
        <w:numPr>
          <w:ilvl w:val="0"/>
          <w:numId w:val="0"/>
        </w:numPr>
        <w:adjustRightInd w:val="0"/>
        <w:snapToGrid w:val="0"/>
        <w:spacing w:line="580" w:lineRule="exact"/>
        <w:ind w:firstLine="640" w:firstLineChars="200"/>
        <w:contextualSpacing/>
        <w:jc w:val="left"/>
        <w:rPr>
          <w:rFonts w:hint="eastAsia" w:ascii="Times New Roman" w:hAnsi="Times New Roman" w:eastAsia="仿宋_GB2312" w:cs="仿宋_GB2312"/>
          <w:color w:val="auto"/>
          <w:kern w:val="2"/>
          <w:sz w:val="32"/>
          <w:szCs w:val="32"/>
          <w:highlight w:val="none"/>
          <w:lang w:val="zh-CN" w:eastAsia="zh-CN" w:bidi="ar-SA"/>
        </w:rPr>
      </w:pPr>
      <w:r>
        <w:rPr>
          <w:rFonts w:hint="eastAsia" w:ascii="仿宋_GB2312" w:hAnsi="宋体" w:eastAsia="仿宋_GB2312" w:cs="宋体"/>
          <w:color w:val="auto"/>
          <w:kern w:val="0"/>
          <w:sz w:val="32"/>
          <w:szCs w:val="32"/>
          <w:shd w:val="clear" w:color="auto" w:fill="FFFFFF"/>
          <w:lang w:val="zh-CN"/>
        </w:rPr>
        <w:t>认真落实总体国家安全观和国家粮食安全战略、乡村振兴战略，不断加强粮食和物资储备安全管理。</w:t>
      </w:r>
    </w:p>
    <w:p w14:paraId="6751DCC7">
      <w:pPr>
        <w:widowControl/>
        <w:adjustRightInd w:val="0"/>
        <w:snapToGrid w:val="0"/>
        <w:spacing w:line="580" w:lineRule="exact"/>
        <w:ind w:firstLine="640" w:firstLineChars="200"/>
        <w:contextualSpacing/>
        <w:jc w:val="left"/>
        <w:rPr>
          <w:rFonts w:hint="eastAsia" w:ascii="Times New Roman" w:hAnsi="Times New Roman" w:eastAsia="仿宋_GB2312" w:cs="仿宋_GB2312"/>
          <w:color w:val="auto"/>
          <w:kern w:val="2"/>
          <w:sz w:val="32"/>
          <w:szCs w:val="32"/>
          <w:highlight w:val="none"/>
          <w:lang w:val="zh-CN" w:eastAsia="zh-CN" w:bidi="ar-SA"/>
        </w:rPr>
      </w:pPr>
      <w:r>
        <w:rPr>
          <w:rFonts w:hint="eastAsia" w:ascii="Times New Roman" w:hAnsi="Times New Roman" w:eastAsia="仿宋_GB2312" w:cs="仿宋_GB2312"/>
          <w:color w:val="auto"/>
          <w:kern w:val="2"/>
          <w:sz w:val="32"/>
          <w:szCs w:val="32"/>
          <w:highlight w:val="none"/>
          <w:lang w:val="en-US" w:eastAsia="zh-CN" w:bidi="ar-SA"/>
        </w:rPr>
        <w:t>2.项目执行</w:t>
      </w:r>
      <w:r>
        <w:rPr>
          <w:rFonts w:hint="eastAsia" w:ascii="Times New Roman" w:hAnsi="Times New Roman" w:eastAsia="仿宋_GB2312" w:cs="仿宋_GB2312"/>
          <w:color w:val="auto"/>
          <w:kern w:val="2"/>
          <w:sz w:val="32"/>
          <w:szCs w:val="32"/>
          <w:highlight w:val="none"/>
          <w:lang w:val="zh-CN" w:eastAsia="zh-CN" w:bidi="ar-SA"/>
        </w:rPr>
        <w:t>。</w:t>
      </w:r>
    </w:p>
    <w:p w14:paraId="0BF26C6D">
      <w:pPr>
        <w:widowControl/>
        <w:adjustRightInd w:val="0"/>
        <w:snapToGrid w:val="0"/>
        <w:spacing w:line="580" w:lineRule="exact"/>
        <w:ind w:firstLine="640" w:firstLineChars="200"/>
        <w:contextualSpacing/>
        <w:jc w:val="left"/>
        <w:rPr>
          <w:rFonts w:hint="eastAsia" w:ascii="仿宋_GB2312" w:hAnsi="宋体" w:eastAsia="仿宋_GB2312" w:cs="宋体"/>
          <w:color w:val="auto"/>
          <w:kern w:val="0"/>
          <w:sz w:val="32"/>
          <w:szCs w:val="32"/>
          <w:shd w:val="clear" w:color="auto" w:fill="FFFFFF"/>
          <w:lang w:val="zh-CN"/>
        </w:rPr>
      </w:pPr>
      <w:r>
        <w:rPr>
          <w:rFonts w:hint="eastAsia" w:ascii="仿宋_GB2312" w:hAnsi="宋体" w:eastAsia="仿宋_GB2312" w:cs="宋体"/>
          <w:color w:val="auto"/>
          <w:kern w:val="0"/>
          <w:sz w:val="32"/>
          <w:szCs w:val="32"/>
          <w:shd w:val="clear" w:color="auto" w:fill="FFFFFF"/>
          <w:lang w:val="zh-CN"/>
        </w:rPr>
        <w:t>（</w:t>
      </w:r>
      <w:r>
        <w:rPr>
          <w:rFonts w:hint="eastAsia" w:ascii="仿宋_GB2312" w:hAnsi="宋体" w:eastAsia="仿宋_GB2312" w:cs="宋体"/>
          <w:color w:val="auto"/>
          <w:kern w:val="0"/>
          <w:sz w:val="32"/>
          <w:szCs w:val="32"/>
          <w:shd w:val="clear" w:color="auto" w:fill="FFFFFF"/>
          <w:lang w:val="en-US" w:eastAsia="zh-CN"/>
        </w:rPr>
        <w:t>1）</w:t>
      </w:r>
      <w:r>
        <w:rPr>
          <w:rFonts w:hint="eastAsia" w:ascii="仿宋_GB2312" w:hAnsi="宋体" w:eastAsia="仿宋_GB2312" w:cs="宋体"/>
          <w:color w:val="auto"/>
          <w:kern w:val="0"/>
          <w:sz w:val="32"/>
          <w:szCs w:val="32"/>
          <w:shd w:val="clear" w:color="auto" w:fill="FFFFFF"/>
          <w:lang w:val="zh-CN"/>
        </w:rPr>
        <w:t>项目1：100吨大米轮换采购资金</w:t>
      </w:r>
    </w:p>
    <w:p w14:paraId="6CA4AAF1">
      <w:pPr>
        <w:widowControl/>
        <w:adjustRightInd w:val="0"/>
        <w:snapToGrid w:val="0"/>
        <w:spacing w:line="580" w:lineRule="exact"/>
        <w:ind w:firstLine="640" w:firstLineChars="200"/>
        <w:contextualSpacing/>
        <w:jc w:val="left"/>
        <w:rPr>
          <w:rFonts w:hint="default" w:ascii="仿宋_GB2312" w:hAnsi="宋体" w:eastAsia="仿宋_GB2312" w:cs="宋体"/>
          <w:color w:val="auto"/>
          <w:kern w:val="0"/>
          <w:sz w:val="32"/>
          <w:szCs w:val="32"/>
          <w:shd w:val="clear" w:color="auto" w:fill="FFFFFF"/>
          <w:lang w:val="en-US" w:eastAsia="zh-CN"/>
        </w:rPr>
      </w:pPr>
      <w:r>
        <w:rPr>
          <w:rFonts w:hint="default" w:ascii="仿宋_GB2312" w:hAnsi="宋体" w:eastAsia="仿宋_GB2312" w:cs="宋体"/>
          <w:color w:val="auto"/>
          <w:kern w:val="0"/>
          <w:sz w:val="32"/>
          <w:szCs w:val="32"/>
          <w:shd w:val="clear" w:color="auto" w:fill="FFFFFF"/>
          <w:lang w:val="en-US" w:eastAsia="zh-CN"/>
        </w:rPr>
        <w:t>根据金发改</w:t>
      </w:r>
      <w:r>
        <w:rPr>
          <w:rFonts w:hint="eastAsia" w:ascii="仿宋_GB2312" w:hAnsi="仿宋_GB2312" w:eastAsia="仿宋_GB2312" w:cs="仿宋_GB2312"/>
          <w:color w:val="auto"/>
          <w:kern w:val="0"/>
          <w:sz w:val="32"/>
          <w:szCs w:val="32"/>
          <w:shd w:val="clear" w:color="auto" w:fill="FFFFFF"/>
          <w:lang w:val="en-US" w:eastAsia="zh-CN"/>
        </w:rPr>
        <w:t>〔2021〕44号</w:t>
      </w:r>
      <w:r>
        <w:rPr>
          <w:rFonts w:hint="default" w:ascii="仿宋_GB2312" w:hAnsi="宋体" w:eastAsia="仿宋_GB2312" w:cs="宋体"/>
          <w:color w:val="auto"/>
          <w:kern w:val="0"/>
          <w:sz w:val="32"/>
          <w:szCs w:val="32"/>
          <w:shd w:val="clear" w:color="auto" w:fill="FFFFFF"/>
          <w:lang w:val="en-US" w:eastAsia="zh-CN"/>
        </w:rPr>
        <w:t>文件，乐山市金口河发展和改革局与乐山市金口河区粮食和物资储备中心关于审定《金口河区新冠肺炎疫情新增临时成品粮油应急储备物资处置方案》的请示。按照国家粮食和物资储备局《关于进一步落实党中央疫情防控决策部署切实发挥全国粮食供应应急保障体系作用通知》按要求从2021年开始100吨大米要常态化储备，并且大米6个月轮换一次，建议储备的100吨大米，保质期到后由金口河区金粮粮油储备有限公司在四川粮食交易批发中心网上采购销售，进行轮换，轮换大米的差额资金和大米的保管费由财政解决，并且从2024年起资金列入粮食和物资储备中心经费预算。该项目执行进度100%、预算完成情况100%，资金结余率0。</w:t>
      </w:r>
    </w:p>
    <w:p w14:paraId="446D1CCE">
      <w:pPr>
        <w:widowControl/>
        <w:adjustRightInd w:val="0"/>
        <w:snapToGrid w:val="0"/>
        <w:spacing w:line="580" w:lineRule="exact"/>
        <w:ind w:firstLine="640" w:firstLineChars="200"/>
        <w:contextualSpacing/>
        <w:jc w:val="left"/>
        <w:rPr>
          <w:rFonts w:hint="eastAsia" w:ascii="仿宋_GB2312" w:hAnsi="宋体" w:eastAsia="仿宋_GB2312" w:cs="宋体"/>
          <w:color w:val="auto"/>
          <w:kern w:val="0"/>
          <w:sz w:val="32"/>
          <w:szCs w:val="32"/>
          <w:shd w:val="clear" w:color="auto" w:fill="FFFFFF"/>
          <w:lang w:val="zh-CN"/>
        </w:rPr>
      </w:pPr>
      <w:r>
        <w:rPr>
          <w:rFonts w:hint="eastAsia" w:ascii="仿宋_GB2312" w:hAnsi="宋体" w:eastAsia="仿宋_GB2312" w:cs="宋体"/>
          <w:color w:val="auto"/>
          <w:kern w:val="0"/>
          <w:sz w:val="32"/>
          <w:szCs w:val="32"/>
          <w:shd w:val="clear" w:color="auto" w:fill="FFFFFF"/>
          <w:lang w:val="zh-CN"/>
        </w:rPr>
        <w:t>（</w:t>
      </w:r>
      <w:r>
        <w:rPr>
          <w:rFonts w:hint="eastAsia" w:ascii="仿宋_GB2312" w:hAnsi="宋体" w:eastAsia="仿宋_GB2312" w:cs="宋体"/>
          <w:color w:val="auto"/>
          <w:kern w:val="0"/>
          <w:sz w:val="32"/>
          <w:szCs w:val="32"/>
          <w:shd w:val="clear" w:color="auto" w:fill="FFFFFF"/>
          <w:lang w:val="en-US" w:eastAsia="zh-CN"/>
        </w:rPr>
        <w:t>2）</w:t>
      </w:r>
      <w:r>
        <w:rPr>
          <w:rFonts w:hint="eastAsia" w:ascii="仿宋_GB2312" w:hAnsi="宋体" w:eastAsia="仿宋_GB2312" w:cs="宋体"/>
          <w:color w:val="auto"/>
          <w:kern w:val="0"/>
          <w:sz w:val="32"/>
          <w:szCs w:val="32"/>
          <w:shd w:val="clear" w:color="auto" w:fill="FFFFFF"/>
          <w:lang w:val="zh-CN"/>
        </w:rPr>
        <w:t>项目2：储备粮油费用补贴</w:t>
      </w:r>
    </w:p>
    <w:p w14:paraId="4FB45F9E">
      <w:pPr>
        <w:spacing w:line="560" w:lineRule="exact"/>
        <w:ind w:firstLine="640" w:firstLineChars="200"/>
        <w:rPr>
          <w:rFonts w:hint="eastAsia" w:ascii="仿宋_GB2312" w:hAnsi="宋体" w:eastAsia="仿宋_GB2312" w:cs="宋体"/>
          <w:color w:val="auto"/>
          <w:kern w:val="0"/>
          <w:szCs w:val="32"/>
          <w:shd w:val="clear" w:color="auto" w:fill="FFFFFF"/>
          <w:lang w:val="en-US" w:eastAsia="zh-CN"/>
        </w:rPr>
      </w:pPr>
      <w:r>
        <w:rPr>
          <w:rFonts w:hint="eastAsia" w:ascii="仿宋_GB2312" w:hAnsi="仿宋_GB2312" w:eastAsia="仿宋_GB2312" w:cs="仿宋_GB2312"/>
          <w:color w:val="auto"/>
          <w:sz w:val="32"/>
          <w:szCs w:val="32"/>
        </w:rPr>
        <w:t>按照《粮食流通管理条例》和“三定方案”的要求，金口河区粮食和物资储备中心承担全区粮油和物资储备任务。为了保证全区居民口粮供应，应对自然灾害和保障粮油市场稳定工作，我中心在202</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eastAsia="zh-CN"/>
        </w:rPr>
        <w:t>单位</w:t>
      </w:r>
      <w:r>
        <w:rPr>
          <w:rFonts w:hint="eastAsia" w:ascii="仿宋_GB2312" w:hAnsi="仿宋_GB2312" w:eastAsia="仿宋_GB2312" w:cs="仿宋_GB2312"/>
          <w:color w:val="auto"/>
          <w:sz w:val="32"/>
          <w:szCs w:val="32"/>
        </w:rPr>
        <w:t>预算中，预算储备粮油费用70.5万元，主要用于粮食2000吨的保管费、轮换费及银行借款利息。其依据为金府发〔20</w:t>
      </w:r>
      <w:r>
        <w:rPr>
          <w:rFonts w:hint="eastAsia" w:ascii="仿宋_GB2312" w:hAnsi="仿宋_GB2312" w:eastAsia="仿宋_GB2312" w:cs="仿宋_GB2312"/>
          <w:color w:val="auto"/>
          <w:sz w:val="32"/>
          <w:szCs w:val="32"/>
          <w:lang w:val="en-US" w:eastAsia="zh-CN"/>
        </w:rPr>
        <w:t>13</w:t>
      </w:r>
      <w:r>
        <w:rPr>
          <w:rFonts w:hint="eastAsia" w:ascii="仿宋_GB2312" w:hAnsi="仿宋_GB2312" w:eastAsia="仿宋_GB2312" w:cs="仿宋_GB2312"/>
          <w:color w:val="auto"/>
          <w:sz w:val="32"/>
          <w:szCs w:val="32"/>
        </w:rPr>
        <w:t>〕4号，《乐山市金口河区级储备粮油管理办法》第十七条：区级储备粮的储备费用按储备总量（原粮）每年0.06元/斤补贴,轮换费用按储备总量（原粮）每年0.06元/斤补贴；区级储备油的储备费、轮换费和利息合计4万元。第十八条：区级储备粮、油的借款利息按农业发展银行同期农副产品收购贷款利率，由区财政局据实拔付。有关粮食行政主管</w:t>
      </w:r>
      <w:r>
        <w:rPr>
          <w:rFonts w:hint="eastAsia" w:ascii="仿宋_GB2312" w:hAnsi="仿宋_GB2312" w:eastAsia="仿宋_GB2312" w:cs="仿宋_GB2312"/>
          <w:color w:val="auto"/>
          <w:sz w:val="32"/>
          <w:szCs w:val="32"/>
          <w:lang w:eastAsia="zh-CN"/>
        </w:rPr>
        <w:t>单位</w:t>
      </w:r>
      <w:r>
        <w:rPr>
          <w:rFonts w:hint="eastAsia" w:ascii="仿宋_GB2312" w:hAnsi="仿宋_GB2312" w:eastAsia="仿宋_GB2312" w:cs="仿宋_GB2312"/>
          <w:color w:val="auto"/>
          <w:sz w:val="32"/>
          <w:szCs w:val="32"/>
        </w:rPr>
        <w:t>粮油执法、统计经费列入。</w:t>
      </w:r>
      <w:r>
        <w:rPr>
          <w:rFonts w:hint="eastAsia" w:ascii="仿宋_GB2312" w:hAnsi="仿宋_GB2312" w:eastAsia="仿宋_GB2312" w:cs="仿宋_GB2312"/>
          <w:color w:val="auto"/>
          <w:sz w:val="32"/>
          <w:szCs w:val="32"/>
          <w:lang w:eastAsia="zh-CN"/>
        </w:rPr>
        <w:t>该</w:t>
      </w:r>
      <w:r>
        <w:rPr>
          <w:rFonts w:hint="eastAsia" w:ascii="仿宋_GB2312" w:hAnsi="仿宋_GB2312" w:eastAsia="仿宋_GB2312" w:cs="仿宋_GB2312"/>
          <w:color w:val="auto"/>
          <w:sz w:val="32"/>
          <w:szCs w:val="32"/>
        </w:rPr>
        <w:t>项目执行进度100%、预算完成情况100%，资金结余率0</w:t>
      </w:r>
      <w:r>
        <w:rPr>
          <w:rFonts w:hint="eastAsia" w:ascii="仿宋_GB2312" w:hAnsi="仿宋_GB2312" w:eastAsia="仿宋_GB2312" w:cs="仿宋_GB2312"/>
          <w:color w:val="auto"/>
          <w:sz w:val="32"/>
          <w:szCs w:val="32"/>
          <w:lang w:eastAsia="zh-CN"/>
        </w:rPr>
        <w:t>。</w:t>
      </w:r>
    </w:p>
    <w:p w14:paraId="571DF57A">
      <w:pPr>
        <w:widowControl/>
        <w:numPr>
          <w:ilvl w:val="0"/>
          <w:numId w:val="0"/>
        </w:numPr>
        <w:adjustRightInd w:val="0"/>
        <w:snapToGrid w:val="0"/>
        <w:spacing w:line="580" w:lineRule="exact"/>
        <w:ind w:left="640" w:leftChars="0"/>
        <w:contextualSpacing/>
        <w:jc w:val="left"/>
        <w:rPr>
          <w:rFonts w:hint="eastAsia" w:ascii="Times New Roman" w:hAnsi="Times New Roman" w:eastAsia="仿宋_GB2312" w:cs="仿宋_GB2312"/>
          <w:color w:val="auto"/>
          <w:kern w:val="2"/>
          <w:sz w:val="32"/>
          <w:szCs w:val="32"/>
          <w:highlight w:val="none"/>
          <w:lang w:val="zh-CN" w:eastAsia="zh-CN" w:bidi="ar-SA"/>
        </w:rPr>
      </w:pPr>
      <w:r>
        <w:rPr>
          <w:rFonts w:hint="eastAsia" w:eastAsia="仿宋_GB2312" w:cs="仿宋_GB2312"/>
          <w:color w:val="auto"/>
          <w:kern w:val="2"/>
          <w:sz w:val="32"/>
          <w:szCs w:val="32"/>
          <w:highlight w:val="none"/>
          <w:lang w:val="en-US" w:eastAsia="zh-CN" w:bidi="ar-SA"/>
        </w:rPr>
        <w:t>3.</w:t>
      </w:r>
      <w:r>
        <w:rPr>
          <w:rFonts w:hint="eastAsia" w:ascii="Times New Roman" w:hAnsi="Times New Roman" w:eastAsia="仿宋_GB2312" w:cs="仿宋_GB2312"/>
          <w:color w:val="auto"/>
          <w:kern w:val="2"/>
          <w:sz w:val="32"/>
          <w:szCs w:val="32"/>
          <w:highlight w:val="none"/>
          <w:lang w:val="zh-CN" w:eastAsia="zh-CN" w:bidi="ar-SA"/>
        </w:rPr>
        <w:t>目标实现。</w:t>
      </w:r>
    </w:p>
    <w:p w14:paraId="53849A4C">
      <w:pPr>
        <w:widowControl/>
        <w:numPr>
          <w:ilvl w:val="0"/>
          <w:numId w:val="0"/>
        </w:numPr>
        <w:adjustRightInd w:val="0"/>
        <w:snapToGrid w:val="0"/>
        <w:spacing w:line="580" w:lineRule="exact"/>
        <w:ind w:firstLine="640" w:firstLineChars="200"/>
        <w:contextualSpacing/>
        <w:jc w:val="left"/>
        <w:rPr>
          <w:rFonts w:hint="eastAsia" w:ascii="仿宋_GB2312" w:hAnsi="宋体" w:eastAsia="仿宋_GB2312" w:cs="宋体"/>
          <w:color w:val="auto"/>
          <w:kern w:val="0"/>
          <w:sz w:val="32"/>
          <w:szCs w:val="32"/>
          <w:shd w:val="clear" w:color="auto" w:fill="FFFFFF"/>
          <w:lang w:val="zh-CN" w:eastAsia="zh-CN"/>
        </w:rPr>
      </w:pPr>
      <w:r>
        <w:rPr>
          <w:rFonts w:hint="eastAsia" w:ascii="仿宋_GB2312" w:hAnsi="宋体" w:eastAsia="仿宋_GB2312" w:cs="宋体"/>
          <w:color w:val="auto"/>
          <w:kern w:val="0"/>
          <w:sz w:val="32"/>
          <w:szCs w:val="32"/>
          <w:shd w:val="clear" w:color="auto" w:fill="FFFFFF"/>
          <w:lang w:val="zh-CN"/>
        </w:rPr>
        <w:t>202</w:t>
      </w:r>
      <w:r>
        <w:rPr>
          <w:rFonts w:hint="eastAsia" w:ascii="仿宋_GB2312" w:hAnsi="宋体" w:eastAsia="仿宋_GB2312" w:cs="宋体"/>
          <w:color w:val="auto"/>
          <w:kern w:val="0"/>
          <w:sz w:val="32"/>
          <w:szCs w:val="32"/>
          <w:shd w:val="clear" w:color="auto" w:fill="FFFFFF"/>
          <w:lang w:val="en-US" w:eastAsia="zh-CN"/>
        </w:rPr>
        <w:t>4</w:t>
      </w:r>
      <w:r>
        <w:rPr>
          <w:rFonts w:hint="eastAsia" w:ascii="仿宋_GB2312" w:hAnsi="宋体" w:eastAsia="仿宋_GB2312" w:cs="宋体"/>
          <w:color w:val="auto"/>
          <w:kern w:val="0"/>
          <w:sz w:val="32"/>
          <w:szCs w:val="32"/>
          <w:shd w:val="clear" w:color="auto" w:fill="FFFFFF"/>
          <w:lang w:val="zh-CN"/>
        </w:rPr>
        <w:t>年我中心以习近平新时代中国特色社会主义思想为指导，统筹推进落实全方位夯实粮食安全根基关键举措和“区内结余、供给国家”粮食工作新方针，以强化储备体系和监管能力为重点。我中心完成区级储备粮轮换数量</w:t>
      </w:r>
      <w:r>
        <w:rPr>
          <w:rFonts w:hint="eastAsia" w:ascii="仿宋_GB2312" w:hAnsi="宋体" w:eastAsia="仿宋_GB2312" w:cs="宋体"/>
          <w:color w:val="auto"/>
          <w:kern w:val="0"/>
          <w:sz w:val="32"/>
          <w:szCs w:val="32"/>
          <w:shd w:val="clear" w:color="auto" w:fill="FFFFFF"/>
          <w:lang w:val="en-US" w:eastAsia="zh-CN"/>
        </w:rPr>
        <w:t>1100</w:t>
      </w:r>
      <w:r>
        <w:rPr>
          <w:rFonts w:hint="eastAsia" w:ascii="仿宋_GB2312" w:hAnsi="宋体" w:eastAsia="仿宋_GB2312" w:cs="宋体"/>
          <w:color w:val="auto"/>
          <w:kern w:val="0"/>
          <w:sz w:val="32"/>
          <w:szCs w:val="32"/>
          <w:shd w:val="clear" w:color="auto" w:fill="FFFFFF"/>
          <w:lang w:val="zh-CN"/>
        </w:rPr>
        <w:t>吨、</w:t>
      </w:r>
      <w:r>
        <w:rPr>
          <w:rFonts w:hint="eastAsia" w:ascii="仿宋_GB2312" w:hAnsi="宋体" w:eastAsia="仿宋_GB2312" w:cs="宋体"/>
          <w:color w:val="auto"/>
          <w:kern w:val="0"/>
          <w:sz w:val="32"/>
          <w:szCs w:val="32"/>
          <w:shd w:val="clear" w:color="auto" w:fill="FFFFFF"/>
          <w:lang w:val="en-US" w:eastAsia="zh-CN"/>
        </w:rPr>
        <w:t>2024年粮食储备规模为2000吨原粮稻谷、100吨成品大米、10吨成品菜籽油</w:t>
      </w:r>
      <w:r>
        <w:rPr>
          <w:rFonts w:hint="eastAsia" w:ascii="仿宋_GB2312" w:hAnsi="宋体" w:eastAsia="仿宋_GB2312" w:cs="宋体"/>
          <w:color w:val="auto"/>
          <w:kern w:val="0"/>
          <w:sz w:val="32"/>
          <w:szCs w:val="32"/>
          <w:shd w:val="clear" w:color="auto" w:fill="FFFFFF"/>
          <w:lang w:val="zh-CN"/>
        </w:rPr>
        <w:t>；开展粮食购销领域定期巡查和常态化监督检查</w:t>
      </w:r>
      <w:r>
        <w:rPr>
          <w:rFonts w:hint="eastAsia" w:ascii="仿宋_GB2312" w:hAnsi="宋体" w:eastAsia="仿宋_GB2312" w:cs="宋体"/>
          <w:color w:val="auto"/>
          <w:kern w:val="0"/>
          <w:sz w:val="32"/>
          <w:szCs w:val="32"/>
          <w:shd w:val="clear" w:color="auto" w:fill="FFFFFF"/>
          <w:lang w:val="en-US" w:eastAsia="zh-CN"/>
        </w:rPr>
        <w:t>4</w:t>
      </w:r>
      <w:r>
        <w:rPr>
          <w:rFonts w:hint="eastAsia" w:ascii="仿宋_GB2312" w:hAnsi="宋体" w:eastAsia="仿宋_GB2312" w:cs="宋体"/>
          <w:color w:val="auto"/>
          <w:kern w:val="0"/>
          <w:sz w:val="32"/>
          <w:szCs w:val="32"/>
          <w:shd w:val="clear" w:color="auto" w:fill="FFFFFF"/>
          <w:lang w:val="zh-CN"/>
        </w:rPr>
        <w:t>次；开展202</w:t>
      </w:r>
      <w:r>
        <w:rPr>
          <w:rFonts w:hint="eastAsia" w:ascii="仿宋_GB2312" w:hAnsi="宋体" w:eastAsia="仿宋_GB2312" w:cs="宋体"/>
          <w:color w:val="auto"/>
          <w:kern w:val="0"/>
          <w:sz w:val="32"/>
          <w:szCs w:val="32"/>
          <w:shd w:val="clear" w:color="auto" w:fill="FFFFFF"/>
          <w:lang w:val="en-US" w:eastAsia="zh-CN"/>
        </w:rPr>
        <w:t>4</w:t>
      </w:r>
      <w:r>
        <w:rPr>
          <w:rFonts w:hint="eastAsia" w:ascii="仿宋_GB2312" w:hAnsi="宋体" w:eastAsia="仿宋_GB2312" w:cs="宋体"/>
          <w:color w:val="auto"/>
          <w:kern w:val="0"/>
          <w:sz w:val="32"/>
          <w:szCs w:val="32"/>
          <w:shd w:val="clear" w:color="auto" w:fill="FFFFFF"/>
          <w:lang w:val="zh-CN"/>
        </w:rPr>
        <w:t>年夏粮、秋粮收购各1次；开展202</w:t>
      </w:r>
      <w:r>
        <w:rPr>
          <w:rFonts w:hint="eastAsia" w:ascii="仿宋_GB2312" w:hAnsi="宋体" w:eastAsia="仿宋_GB2312" w:cs="宋体"/>
          <w:color w:val="auto"/>
          <w:kern w:val="0"/>
          <w:sz w:val="32"/>
          <w:szCs w:val="32"/>
          <w:shd w:val="clear" w:color="auto" w:fill="FFFFFF"/>
          <w:lang w:val="en-US" w:eastAsia="zh-CN"/>
        </w:rPr>
        <w:t>4</w:t>
      </w:r>
      <w:r>
        <w:rPr>
          <w:rFonts w:hint="eastAsia" w:ascii="仿宋_GB2312" w:hAnsi="宋体" w:eastAsia="仿宋_GB2312" w:cs="宋体"/>
          <w:color w:val="auto"/>
          <w:kern w:val="0"/>
          <w:sz w:val="32"/>
          <w:szCs w:val="32"/>
          <w:shd w:val="clear" w:color="auto" w:fill="FFFFFF"/>
          <w:lang w:val="zh-CN"/>
        </w:rPr>
        <w:t>年政策性粮油库存检查工作1次等重点任务。认真落实总体国家安全观和国家粮食安全战略、乡村振兴战略，不断加强粮食和物资储备安全管理。</w:t>
      </w:r>
    </w:p>
    <w:p w14:paraId="6F786A1B">
      <w:pPr>
        <w:keepNext w:val="0"/>
        <w:keepLines w:val="0"/>
        <w:pageBreakBefore w:val="0"/>
        <w:widowControl w:val="0"/>
        <w:numPr>
          <w:ilvl w:val="0"/>
          <w:numId w:val="3"/>
        </w:numPr>
        <w:kinsoku/>
        <w:wordWrap/>
        <w:overflowPunct/>
        <w:topLinePunct w:val="0"/>
        <w:autoSpaceDE/>
        <w:autoSpaceDN/>
        <w:bidi w:val="0"/>
        <w:snapToGrid w:val="0"/>
        <w:spacing w:line="600" w:lineRule="exact"/>
        <w:ind w:left="0" w:leftChars="0" w:firstLine="643" w:firstLineChars="200"/>
        <w:textAlignment w:val="auto"/>
        <w:rPr>
          <w:rFonts w:hint="eastAsia" w:ascii="Times New Roman" w:hAnsi="Times New Roman" w:eastAsia="楷体_GB2312" w:cs="Times New Roman"/>
          <w:b/>
          <w:bCs/>
          <w:color w:val="auto"/>
          <w:kern w:val="0"/>
          <w:sz w:val="32"/>
          <w:szCs w:val="32"/>
          <w:highlight w:val="none"/>
          <w:shd w:val="clear" w:color="auto" w:fill="FFFFFF"/>
          <w:lang w:val="zh-CN" w:eastAsia="zh-CN"/>
        </w:rPr>
      </w:pPr>
      <w:r>
        <w:rPr>
          <w:rFonts w:hint="default" w:ascii="Times New Roman" w:hAnsi="Times New Roman" w:eastAsia="楷体_GB2312" w:cs="Times New Roman"/>
          <w:b/>
          <w:bCs/>
          <w:color w:val="auto"/>
          <w:kern w:val="0"/>
          <w:sz w:val="32"/>
          <w:szCs w:val="32"/>
          <w:highlight w:val="none"/>
          <w:shd w:val="clear" w:color="auto" w:fill="FFFFFF"/>
          <w:lang w:val="zh-CN" w:eastAsia="zh-CN"/>
        </w:rPr>
        <w:t>绩效结果应用情况</w:t>
      </w:r>
      <w:r>
        <w:rPr>
          <w:rFonts w:hint="eastAsia" w:ascii="Times New Roman" w:hAnsi="Times New Roman" w:eastAsia="楷体_GB2312" w:cs="Times New Roman"/>
          <w:b/>
          <w:bCs/>
          <w:color w:val="auto"/>
          <w:kern w:val="0"/>
          <w:sz w:val="32"/>
          <w:szCs w:val="32"/>
          <w:highlight w:val="none"/>
          <w:shd w:val="clear" w:color="auto" w:fill="FFFFFF"/>
          <w:lang w:val="zh-CN" w:eastAsia="zh-CN"/>
        </w:rPr>
        <w:t>。</w:t>
      </w:r>
    </w:p>
    <w:p w14:paraId="4B8CF1A1">
      <w:pPr>
        <w:keepNext w:val="0"/>
        <w:keepLines w:val="0"/>
        <w:pageBreakBefore w:val="0"/>
        <w:widowControl w:val="0"/>
        <w:numPr>
          <w:ilvl w:val="0"/>
          <w:numId w:val="0"/>
        </w:numPr>
        <w:kinsoku/>
        <w:wordWrap/>
        <w:overflowPunct/>
        <w:topLinePunct w:val="0"/>
        <w:autoSpaceDE/>
        <w:autoSpaceDN/>
        <w:bidi w:val="0"/>
        <w:snapToGrid w:val="0"/>
        <w:spacing w:line="600" w:lineRule="exact"/>
        <w:ind w:leftChars="200" w:firstLine="640" w:firstLineChars="200"/>
        <w:textAlignment w:val="auto"/>
        <w:rPr>
          <w:rFonts w:hint="default" w:ascii="Times New Roman" w:hAnsi="Times New Roman" w:eastAsia="仿宋_GB2312" w:cs="Times New Roman"/>
          <w:color w:val="auto"/>
          <w:sz w:val="32"/>
          <w:szCs w:val="32"/>
          <w:highlight w:val="none"/>
          <w:u w:val="none"/>
          <w:lang w:bidi="ar"/>
        </w:rPr>
      </w:pPr>
      <w:r>
        <w:rPr>
          <w:rFonts w:hint="eastAsia" w:ascii="仿宋_GB2312" w:hAnsi="宋体" w:eastAsia="仿宋_GB2312" w:cs="宋体"/>
          <w:color w:val="auto"/>
          <w:kern w:val="0"/>
          <w:sz w:val="32"/>
          <w:szCs w:val="32"/>
          <w:shd w:val="clear" w:color="auto" w:fill="FFFFFF"/>
          <w:lang w:val="en-US" w:eastAsia="zh-CN"/>
        </w:rPr>
        <w:t>本单位</w:t>
      </w:r>
      <w:r>
        <w:rPr>
          <w:rFonts w:hint="eastAsia" w:ascii="仿宋_GB2312" w:hAnsi="宋体" w:eastAsia="仿宋_GB2312" w:cs="宋体"/>
          <w:color w:val="auto"/>
          <w:kern w:val="0"/>
          <w:sz w:val="32"/>
          <w:szCs w:val="32"/>
          <w:shd w:val="clear" w:color="auto" w:fill="FFFFFF"/>
          <w:lang w:val="zh-CN"/>
        </w:rPr>
        <w:t>所有指标都基本达到了预期的效果，所有项目经费都实现了价值的最大化。</w:t>
      </w:r>
    </w:p>
    <w:p w14:paraId="156EA4AA">
      <w:pPr>
        <w:keepNext w:val="0"/>
        <w:keepLines w:val="0"/>
        <w:pageBreakBefore w:val="0"/>
        <w:widowControl/>
        <w:numPr>
          <w:ilvl w:val="0"/>
          <w:numId w:val="0"/>
        </w:numPr>
        <w:kinsoku/>
        <w:wordWrap/>
        <w:overflowPunct/>
        <w:topLinePunct w:val="0"/>
        <w:autoSpaceDE/>
        <w:autoSpaceDN/>
        <w:bidi w:val="0"/>
        <w:adjustRightInd w:val="0"/>
        <w:snapToGrid w:val="0"/>
        <w:spacing w:line="578" w:lineRule="exact"/>
        <w:ind w:firstLine="640" w:firstLineChars="200"/>
        <w:contextualSpacing/>
        <w:jc w:val="left"/>
        <w:textAlignment w:val="auto"/>
        <w:outlineLvl w:val="9"/>
        <w:rPr>
          <w:rFonts w:hint="default" w:ascii="Times New Roman" w:hAnsi="Times New Roman" w:eastAsia="黑体" w:cs="Times New Roman"/>
          <w:color w:val="auto"/>
          <w:kern w:val="0"/>
          <w:sz w:val="32"/>
          <w:szCs w:val="32"/>
          <w:highlight w:val="none"/>
          <w:shd w:val="clear" w:color="auto" w:fill="FFFFFF"/>
          <w:lang w:val="zh-CN"/>
        </w:rPr>
      </w:pPr>
      <w:r>
        <w:rPr>
          <w:rFonts w:hint="default" w:ascii="Times New Roman" w:hAnsi="Times New Roman" w:eastAsia="黑体" w:cs="Times New Roman"/>
          <w:color w:val="auto"/>
          <w:kern w:val="0"/>
          <w:sz w:val="32"/>
          <w:szCs w:val="32"/>
          <w:highlight w:val="none"/>
          <w:shd w:val="clear" w:color="auto" w:fill="FFFFFF"/>
          <w:lang w:val="zh-CN" w:eastAsia="zh-CN"/>
        </w:rPr>
        <w:t>四、</w:t>
      </w:r>
      <w:r>
        <w:rPr>
          <w:rFonts w:hint="default" w:ascii="Times New Roman" w:hAnsi="Times New Roman" w:eastAsia="黑体" w:cs="Times New Roman"/>
          <w:color w:val="auto"/>
          <w:kern w:val="0"/>
          <w:sz w:val="32"/>
          <w:szCs w:val="32"/>
          <w:highlight w:val="none"/>
          <w:shd w:val="clear" w:color="auto" w:fill="FFFFFF"/>
          <w:lang w:val="zh-CN"/>
        </w:rPr>
        <w:t>评价结论及建议</w:t>
      </w:r>
    </w:p>
    <w:p w14:paraId="3B119503">
      <w:pPr>
        <w:widowControl/>
        <w:adjustRightInd w:val="0"/>
        <w:snapToGrid w:val="0"/>
        <w:spacing w:line="580" w:lineRule="exact"/>
        <w:ind w:firstLine="643" w:firstLineChars="200"/>
        <w:contextualSpacing/>
        <w:jc w:val="left"/>
        <w:rPr>
          <w:rFonts w:hint="default" w:ascii="Times New Roman" w:hAnsi="Times New Roman" w:eastAsia="楷体_GB2312" w:cs="Times New Roman"/>
          <w:b/>
          <w:bCs/>
          <w:color w:val="auto"/>
          <w:kern w:val="0"/>
          <w:sz w:val="32"/>
          <w:szCs w:val="32"/>
          <w:highlight w:val="none"/>
          <w:shd w:val="clear" w:color="auto" w:fill="FFFFFF"/>
          <w:lang w:val="zh-CN"/>
        </w:rPr>
      </w:pPr>
      <w:r>
        <w:rPr>
          <w:rFonts w:hint="default" w:ascii="Times New Roman" w:hAnsi="Times New Roman" w:eastAsia="楷体_GB2312" w:cs="Times New Roman"/>
          <w:b/>
          <w:bCs/>
          <w:color w:val="auto"/>
          <w:kern w:val="0"/>
          <w:sz w:val="32"/>
          <w:szCs w:val="32"/>
          <w:highlight w:val="none"/>
          <w:shd w:val="clear" w:color="auto" w:fill="FFFFFF"/>
          <w:lang w:val="zh-CN"/>
        </w:rPr>
        <w:t>（一）评价结论。</w:t>
      </w:r>
    </w:p>
    <w:p w14:paraId="21822D5F">
      <w:pPr>
        <w:widowControl/>
        <w:adjustRightInd w:val="0"/>
        <w:snapToGrid w:val="0"/>
        <w:spacing w:line="580" w:lineRule="exact"/>
        <w:ind w:firstLine="640" w:firstLineChars="200"/>
        <w:contextualSpacing/>
        <w:jc w:val="left"/>
        <w:rPr>
          <w:rFonts w:hint="eastAsia" w:ascii="仿宋" w:hAnsi="仿宋" w:eastAsia="仿宋" w:cs="仿宋"/>
          <w:color w:val="auto"/>
          <w:kern w:val="0"/>
          <w:sz w:val="32"/>
          <w:szCs w:val="32"/>
          <w:shd w:val="clear" w:color="auto" w:fill="FFFFFF"/>
          <w:lang w:val="zh-CN"/>
        </w:rPr>
      </w:pPr>
      <w:r>
        <w:rPr>
          <w:rFonts w:hint="eastAsia" w:ascii="仿宋" w:hAnsi="仿宋" w:eastAsia="仿宋" w:cs="仿宋"/>
          <w:color w:val="auto"/>
          <w:kern w:val="0"/>
          <w:sz w:val="32"/>
          <w:szCs w:val="32"/>
          <w:shd w:val="clear" w:color="auto" w:fill="FFFFFF"/>
          <w:lang w:val="zh-CN"/>
        </w:rPr>
        <w:t>根据考核评分细则，我单位严格按照国家的相关财务管理制度规定，财务制度健全、会计核算规范，依照计划管理使用。按照单位整体支出绩效评价指标体系对照打分得出结果，分数为99分。</w:t>
      </w:r>
    </w:p>
    <w:p w14:paraId="5DDE3C69">
      <w:pPr>
        <w:keepNext w:val="0"/>
        <w:keepLines w:val="0"/>
        <w:pageBreakBefore w:val="0"/>
        <w:widowControl/>
        <w:numPr>
          <w:ilvl w:val="0"/>
          <w:numId w:val="4"/>
        </w:numPr>
        <w:kinsoku/>
        <w:wordWrap/>
        <w:overflowPunct/>
        <w:topLinePunct w:val="0"/>
        <w:autoSpaceDE/>
        <w:autoSpaceDN/>
        <w:bidi w:val="0"/>
        <w:adjustRightInd w:val="0"/>
        <w:snapToGrid w:val="0"/>
        <w:spacing w:line="580" w:lineRule="exact"/>
        <w:ind w:firstLine="643" w:firstLineChars="200"/>
        <w:contextualSpacing/>
        <w:jc w:val="left"/>
        <w:textAlignment w:val="auto"/>
        <w:rPr>
          <w:rFonts w:hint="default" w:ascii="Times New Roman" w:hAnsi="Times New Roman" w:eastAsia="楷体_GB2312" w:cs="Times New Roman"/>
          <w:b/>
          <w:bCs/>
          <w:color w:val="auto"/>
          <w:kern w:val="0"/>
          <w:sz w:val="32"/>
          <w:szCs w:val="32"/>
          <w:highlight w:val="none"/>
          <w:shd w:val="clear" w:color="auto" w:fill="FFFFFF"/>
          <w:lang w:val="zh-CN"/>
        </w:rPr>
      </w:pPr>
      <w:r>
        <w:rPr>
          <w:rFonts w:hint="default" w:ascii="Times New Roman" w:hAnsi="Times New Roman" w:eastAsia="楷体_GB2312" w:cs="Times New Roman"/>
          <w:b/>
          <w:bCs/>
          <w:color w:val="auto"/>
          <w:kern w:val="0"/>
          <w:sz w:val="32"/>
          <w:szCs w:val="32"/>
          <w:highlight w:val="none"/>
          <w:shd w:val="clear" w:color="auto" w:fill="FFFFFF"/>
          <w:lang w:val="zh-CN"/>
        </w:rPr>
        <w:t>存在问题。</w:t>
      </w:r>
    </w:p>
    <w:p w14:paraId="601168EA">
      <w:pPr>
        <w:keepNext w:val="0"/>
        <w:keepLines w:val="0"/>
        <w:pageBreakBefore w:val="0"/>
        <w:widowControl/>
        <w:numPr>
          <w:ilvl w:val="0"/>
          <w:numId w:val="0"/>
        </w:numPr>
        <w:kinsoku/>
        <w:wordWrap/>
        <w:overflowPunct/>
        <w:topLinePunct w:val="0"/>
        <w:autoSpaceDE/>
        <w:autoSpaceDN/>
        <w:bidi w:val="0"/>
        <w:adjustRightInd w:val="0"/>
        <w:snapToGrid w:val="0"/>
        <w:spacing w:line="580" w:lineRule="exact"/>
        <w:ind w:firstLine="640" w:firstLineChars="200"/>
        <w:contextualSpacing/>
        <w:jc w:val="left"/>
        <w:textAlignment w:val="auto"/>
        <w:rPr>
          <w:rFonts w:hint="eastAsia" w:ascii="仿宋" w:hAnsi="仿宋" w:eastAsia="仿宋" w:cs="仿宋"/>
          <w:color w:val="auto"/>
          <w:kern w:val="0"/>
          <w:sz w:val="32"/>
          <w:szCs w:val="32"/>
          <w:shd w:val="clear" w:color="auto" w:fill="FFFFFF"/>
          <w:lang w:val="zh-CN"/>
        </w:rPr>
      </w:pPr>
      <w:r>
        <w:rPr>
          <w:rFonts w:hint="eastAsia" w:ascii="仿宋" w:hAnsi="仿宋" w:eastAsia="仿宋" w:cs="仿宋"/>
          <w:color w:val="auto"/>
          <w:kern w:val="0"/>
          <w:sz w:val="32"/>
          <w:szCs w:val="32"/>
          <w:shd w:val="clear" w:color="auto" w:fill="FFFFFF"/>
          <w:lang w:val="zh-CN"/>
        </w:rPr>
        <w:t>1.《粮食流通管理条例》宣传力度不够，群众特别是个别粮食经营户对粮油行政执法工作不理解。</w:t>
      </w:r>
    </w:p>
    <w:p w14:paraId="2C23DBD2">
      <w:pPr>
        <w:keepNext w:val="0"/>
        <w:keepLines w:val="0"/>
        <w:pageBreakBefore w:val="0"/>
        <w:widowControl/>
        <w:numPr>
          <w:ilvl w:val="0"/>
          <w:numId w:val="0"/>
        </w:numPr>
        <w:kinsoku/>
        <w:wordWrap/>
        <w:overflowPunct/>
        <w:topLinePunct w:val="0"/>
        <w:autoSpaceDE/>
        <w:autoSpaceDN/>
        <w:bidi w:val="0"/>
        <w:adjustRightInd w:val="0"/>
        <w:snapToGrid w:val="0"/>
        <w:spacing w:line="580" w:lineRule="exact"/>
        <w:ind w:firstLine="640" w:firstLineChars="200"/>
        <w:contextualSpacing/>
        <w:jc w:val="left"/>
        <w:textAlignment w:val="auto"/>
        <w:rPr>
          <w:rFonts w:hint="eastAsia" w:ascii="仿宋" w:hAnsi="仿宋" w:eastAsia="仿宋" w:cs="仿宋"/>
          <w:color w:val="auto"/>
          <w:kern w:val="0"/>
          <w:sz w:val="32"/>
          <w:szCs w:val="32"/>
          <w:shd w:val="clear" w:color="auto" w:fill="FFFFFF"/>
          <w:lang w:val="zh-CN"/>
        </w:rPr>
      </w:pPr>
      <w:r>
        <w:rPr>
          <w:rFonts w:hint="eastAsia" w:ascii="仿宋" w:hAnsi="仿宋" w:eastAsia="仿宋" w:cs="仿宋"/>
          <w:color w:val="auto"/>
          <w:kern w:val="0"/>
          <w:sz w:val="32"/>
          <w:szCs w:val="32"/>
          <w:shd w:val="clear" w:color="auto" w:fill="FFFFFF"/>
          <w:lang w:val="zh-CN"/>
        </w:rPr>
        <w:t>2.工作开展情况记录不完整。</w:t>
      </w:r>
    </w:p>
    <w:p w14:paraId="29F019EF">
      <w:pPr>
        <w:widowControl/>
        <w:adjustRightInd w:val="0"/>
        <w:snapToGrid w:val="0"/>
        <w:spacing w:line="580" w:lineRule="exact"/>
        <w:ind w:firstLine="643" w:firstLineChars="200"/>
        <w:contextualSpacing/>
        <w:jc w:val="left"/>
        <w:rPr>
          <w:rFonts w:hint="default" w:ascii="Times New Roman" w:hAnsi="Times New Roman" w:eastAsia="楷体_GB2312" w:cs="Times New Roman"/>
          <w:b/>
          <w:bCs/>
          <w:color w:val="auto"/>
          <w:kern w:val="0"/>
          <w:sz w:val="32"/>
          <w:szCs w:val="32"/>
          <w:highlight w:val="none"/>
          <w:shd w:val="clear" w:color="auto" w:fill="FFFFFF"/>
          <w:lang w:val="zh-CN" w:eastAsia="zh-CN"/>
        </w:rPr>
      </w:pPr>
      <w:r>
        <w:rPr>
          <w:rFonts w:hint="default" w:ascii="Times New Roman" w:hAnsi="Times New Roman" w:eastAsia="楷体_GB2312" w:cs="Times New Roman"/>
          <w:b/>
          <w:bCs/>
          <w:color w:val="auto"/>
          <w:kern w:val="0"/>
          <w:sz w:val="32"/>
          <w:szCs w:val="32"/>
          <w:highlight w:val="none"/>
          <w:shd w:val="clear" w:color="auto" w:fill="FFFFFF"/>
          <w:lang w:val="zh-CN" w:eastAsia="zh-CN"/>
        </w:rPr>
        <w:t>（三）改进建议。</w:t>
      </w:r>
      <w:bookmarkStart w:id="53" w:name="_Hlk110546638"/>
    </w:p>
    <w:p w14:paraId="03AE81E0">
      <w:pPr>
        <w:widowControl/>
        <w:adjustRightInd w:val="0"/>
        <w:snapToGrid w:val="0"/>
        <w:spacing w:line="580" w:lineRule="exact"/>
        <w:ind w:firstLine="640" w:firstLineChars="200"/>
        <w:contextualSpacing/>
        <w:jc w:val="left"/>
        <w:rPr>
          <w:rFonts w:hint="eastAsia" w:ascii="仿宋" w:hAnsi="仿宋" w:eastAsia="仿宋" w:cs="仿宋"/>
          <w:color w:val="auto"/>
          <w:kern w:val="0"/>
          <w:sz w:val="32"/>
          <w:szCs w:val="32"/>
          <w:shd w:val="clear" w:color="auto" w:fill="FFFFFF"/>
          <w:lang w:val="zh-CN"/>
        </w:rPr>
      </w:pPr>
      <w:r>
        <w:rPr>
          <w:rFonts w:hint="eastAsia" w:ascii="仿宋" w:hAnsi="仿宋" w:eastAsia="仿宋" w:cs="仿宋"/>
          <w:color w:val="auto"/>
          <w:kern w:val="0"/>
          <w:sz w:val="32"/>
          <w:szCs w:val="32"/>
          <w:shd w:val="clear" w:color="auto" w:fill="FFFFFF"/>
          <w:lang w:val="zh-CN"/>
        </w:rPr>
        <w:t>1.年初预算时，加强单位与财政的沟通，继续执行预算三上三下程序，既厉行节约，又保证必需。</w:t>
      </w:r>
    </w:p>
    <w:p w14:paraId="276F13E3">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contextualSpacing/>
        <w:jc w:val="left"/>
        <w:textAlignment w:val="auto"/>
        <w:outlineLvl w:val="9"/>
        <w:rPr>
          <w:rFonts w:hint="eastAsia" w:ascii="仿宋" w:hAnsi="仿宋" w:eastAsia="仿宋" w:cs="仿宋"/>
          <w:color w:val="auto"/>
          <w:sz w:val="32"/>
          <w:szCs w:val="32"/>
          <w:u w:val="none"/>
          <w:lang w:val="en" w:eastAsia="zh-CN" w:bidi="ar"/>
        </w:rPr>
      </w:pPr>
      <w:r>
        <w:rPr>
          <w:rFonts w:hint="eastAsia" w:ascii="仿宋" w:hAnsi="仿宋" w:eastAsia="仿宋" w:cs="仿宋"/>
          <w:color w:val="auto"/>
          <w:kern w:val="0"/>
          <w:sz w:val="32"/>
          <w:szCs w:val="32"/>
          <w:shd w:val="clear" w:color="auto" w:fill="FFFFFF"/>
          <w:lang w:val="zh-CN"/>
        </w:rPr>
        <w:t>2.继续完善单位内财政管理方面的制度，加强财务管理，充分发挥财政资金的经济效益和社会效益。</w:t>
      </w:r>
    </w:p>
    <w:bookmarkEnd w:id="53"/>
    <w:p w14:paraId="7F9EA42D">
      <w:pPr>
        <w:pStyle w:val="7"/>
        <w:keepNext w:val="0"/>
        <w:keepLines w:val="0"/>
        <w:pageBreakBefore w:val="0"/>
        <w:numPr>
          <w:ilvl w:val="0"/>
          <w:numId w:val="0"/>
        </w:numPr>
        <w:kinsoku/>
        <w:wordWrap/>
        <w:overflowPunct/>
        <w:topLinePunct w:val="0"/>
        <w:autoSpaceDE/>
        <w:autoSpaceDN/>
        <w:bidi w:val="0"/>
        <w:spacing w:line="560" w:lineRule="exact"/>
        <w:ind w:firstLine="640" w:firstLineChars="200"/>
        <w:textAlignment w:val="auto"/>
        <w:rPr>
          <w:rFonts w:hint="eastAsia" w:ascii="Times New Roman" w:hAnsi="Times New Roman" w:eastAsia="仿宋_GB2312" w:cs="Times New Roman"/>
          <w:color w:val="auto"/>
          <w:kern w:val="2"/>
          <w:sz w:val="32"/>
          <w:szCs w:val="32"/>
          <w:u w:val="none"/>
          <w:lang w:val="zh-CN" w:eastAsia="zh-CN" w:bidi="ar"/>
        </w:rPr>
      </w:pPr>
    </w:p>
    <w:p w14:paraId="035FDE3B">
      <w:pPr>
        <w:pStyle w:val="7"/>
        <w:keepNext w:val="0"/>
        <w:keepLines w:val="0"/>
        <w:pageBreakBefore w:val="0"/>
        <w:numPr>
          <w:ilvl w:val="0"/>
          <w:numId w:val="0"/>
        </w:numPr>
        <w:kinsoku/>
        <w:wordWrap/>
        <w:overflowPunct/>
        <w:topLinePunct w:val="0"/>
        <w:autoSpaceDE/>
        <w:autoSpaceDN/>
        <w:bidi w:val="0"/>
        <w:spacing w:line="560" w:lineRule="exact"/>
        <w:ind w:firstLine="640" w:firstLineChars="200"/>
        <w:textAlignment w:val="auto"/>
        <w:rPr>
          <w:rFonts w:hint="eastAsia" w:ascii="Times New Roman" w:hAnsi="Times New Roman" w:eastAsia="仿宋_GB2312" w:cs="Times New Roman"/>
          <w:color w:val="auto"/>
          <w:kern w:val="2"/>
          <w:sz w:val="32"/>
          <w:szCs w:val="32"/>
          <w:u w:val="none"/>
          <w:lang w:val="zh-CN" w:eastAsia="zh-CN" w:bidi="ar"/>
        </w:rPr>
      </w:pPr>
      <w:r>
        <w:rPr>
          <w:rFonts w:hint="eastAsia" w:ascii="Times New Roman" w:hAnsi="Times New Roman" w:eastAsia="仿宋_GB2312" w:cs="Times New Roman"/>
          <w:color w:val="auto"/>
          <w:kern w:val="2"/>
          <w:sz w:val="32"/>
          <w:szCs w:val="32"/>
          <w:u w:val="none"/>
          <w:lang w:val="zh-CN" w:eastAsia="zh-CN" w:bidi="ar"/>
        </w:rPr>
        <w:t>附表：</w:t>
      </w:r>
      <w:r>
        <w:rPr>
          <w:rFonts w:hint="eastAsia" w:ascii="Times New Roman" w:eastAsia="仿宋_GB2312" w:cs="Times New Roman"/>
          <w:color w:val="auto"/>
          <w:kern w:val="2"/>
          <w:sz w:val="32"/>
          <w:szCs w:val="32"/>
          <w:u w:val="none"/>
          <w:lang w:val="en-US" w:eastAsia="zh-CN" w:bidi="ar"/>
        </w:rPr>
        <w:t>单位</w:t>
      </w:r>
      <w:r>
        <w:rPr>
          <w:rFonts w:hint="eastAsia" w:ascii="Times New Roman" w:hAnsi="Times New Roman" w:eastAsia="仿宋_GB2312" w:cs="Times New Roman"/>
          <w:color w:val="auto"/>
          <w:kern w:val="2"/>
          <w:sz w:val="32"/>
          <w:szCs w:val="32"/>
          <w:u w:val="none"/>
          <w:lang w:val="en-US" w:eastAsia="zh-CN" w:bidi="ar"/>
        </w:rPr>
        <w:t>预算项目支出绩效自评表（2024年度）</w:t>
      </w:r>
    </w:p>
    <w:p w14:paraId="33948D2B">
      <w:pPr>
        <w:pStyle w:val="7"/>
        <w:keepNext w:val="0"/>
        <w:keepLines w:val="0"/>
        <w:pageBreakBefore w:val="0"/>
        <w:numPr>
          <w:ilvl w:val="0"/>
          <w:numId w:val="0"/>
        </w:numPr>
        <w:kinsoku/>
        <w:wordWrap/>
        <w:overflowPunct/>
        <w:topLinePunct w:val="0"/>
        <w:autoSpaceDE/>
        <w:autoSpaceDN/>
        <w:bidi w:val="0"/>
        <w:spacing w:line="560" w:lineRule="exact"/>
        <w:ind w:firstLine="640" w:firstLineChars="200"/>
        <w:textAlignment w:val="auto"/>
        <w:rPr>
          <w:rFonts w:hint="eastAsia" w:ascii="Times New Roman" w:hAnsi="Times New Roman" w:eastAsia="仿宋_GB2312" w:cs="仿宋_GB2312"/>
          <w:b w:val="0"/>
          <w:bCs w:val="0"/>
          <w:color w:val="auto"/>
          <w:kern w:val="0"/>
          <w:position w:val="0"/>
          <w:sz w:val="32"/>
          <w:szCs w:val="32"/>
          <w:highlight w:val="none"/>
          <w:lang w:val="zh-CN" w:eastAsia="zh-CN" w:bidi="ar-SA"/>
        </w:rPr>
      </w:pPr>
      <w:r>
        <w:rPr>
          <w:rFonts w:hint="eastAsia" w:ascii="Times New Roman" w:hAnsi="Times New Roman" w:eastAsia="仿宋_GB2312" w:cs="仿宋_GB2312"/>
          <w:b w:val="0"/>
          <w:bCs w:val="0"/>
          <w:color w:val="auto"/>
          <w:kern w:val="0"/>
          <w:position w:val="0"/>
          <w:sz w:val="32"/>
          <w:szCs w:val="32"/>
          <w:highlight w:val="none"/>
          <w:lang w:val="en-US" w:eastAsia="zh-CN" w:bidi="ar-SA"/>
        </w:rPr>
        <w:t>（注：按照绩效自评工作安排，各</w:t>
      </w:r>
      <w:r>
        <w:rPr>
          <w:rFonts w:hint="eastAsia" w:ascii="Times New Roman" w:eastAsia="仿宋_GB2312" w:cs="仿宋_GB2312"/>
          <w:b w:val="0"/>
          <w:bCs w:val="0"/>
          <w:color w:val="auto"/>
          <w:kern w:val="0"/>
          <w:position w:val="0"/>
          <w:sz w:val="32"/>
          <w:szCs w:val="32"/>
          <w:highlight w:val="none"/>
          <w:lang w:val="en-US" w:eastAsia="zh-CN" w:bidi="ar-SA"/>
        </w:rPr>
        <w:t>单位</w:t>
      </w:r>
      <w:r>
        <w:rPr>
          <w:rFonts w:hint="eastAsia" w:ascii="Times New Roman" w:hAnsi="Times New Roman" w:eastAsia="仿宋_GB2312" w:cs="仿宋_GB2312"/>
          <w:b w:val="0"/>
          <w:bCs w:val="0"/>
          <w:color w:val="auto"/>
          <w:kern w:val="0"/>
          <w:position w:val="0"/>
          <w:sz w:val="32"/>
          <w:szCs w:val="32"/>
          <w:highlight w:val="none"/>
          <w:lang w:val="en-US" w:eastAsia="zh-CN" w:bidi="ar-SA"/>
        </w:rPr>
        <w:t>已在预算管理一体化系统绩效自评模块上传“</w:t>
      </w:r>
      <w:r>
        <w:rPr>
          <w:rFonts w:hint="eastAsia" w:ascii="Times New Roman" w:eastAsia="仿宋_GB2312" w:cs="仿宋_GB2312"/>
          <w:b w:val="0"/>
          <w:bCs w:val="0"/>
          <w:color w:val="auto"/>
          <w:kern w:val="0"/>
          <w:position w:val="0"/>
          <w:sz w:val="32"/>
          <w:szCs w:val="32"/>
          <w:highlight w:val="none"/>
          <w:lang w:val="en-US" w:eastAsia="zh-CN" w:bidi="ar-SA"/>
        </w:rPr>
        <w:t>单位</w:t>
      </w:r>
      <w:r>
        <w:rPr>
          <w:rFonts w:hint="eastAsia" w:ascii="Times New Roman" w:hAnsi="Times New Roman" w:eastAsia="仿宋_GB2312" w:cs="仿宋_GB2312"/>
          <w:b w:val="0"/>
          <w:bCs w:val="0"/>
          <w:color w:val="auto"/>
          <w:kern w:val="0"/>
          <w:position w:val="0"/>
          <w:sz w:val="32"/>
          <w:szCs w:val="32"/>
          <w:highlight w:val="none"/>
          <w:lang w:val="en-US" w:eastAsia="zh-CN" w:bidi="ar-SA"/>
        </w:rPr>
        <w:t>预算项目支出绩效自评表（2024年度）”，该表格应作为附表予以公开）</w:t>
      </w:r>
    </w:p>
    <w:p w14:paraId="4C880E9A">
      <w:pPr>
        <w:pStyle w:val="7"/>
        <w:keepNext w:val="0"/>
        <w:keepLines w:val="0"/>
        <w:pageBreakBefore w:val="0"/>
        <w:numPr>
          <w:ilvl w:val="0"/>
          <w:numId w:val="0"/>
        </w:numPr>
        <w:kinsoku/>
        <w:wordWrap/>
        <w:overflowPunct/>
        <w:topLinePunct w:val="0"/>
        <w:autoSpaceDE/>
        <w:autoSpaceDN/>
        <w:bidi w:val="0"/>
        <w:spacing w:line="560" w:lineRule="exact"/>
        <w:textAlignment w:val="auto"/>
        <w:rPr>
          <w:rFonts w:hint="eastAsia" w:ascii="Times New Roman" w:hAnsi="Times New Roman" w:cs="Times New Roman"/>
          <w:color w:val="auto"/>
          <w:sz w:val="32"/>
          <w:szCs w:val="32"/>
          <w:highlight w:val="yellow"/>
          <w:lang w:val="zh-CN" w:eastAsia="zh-CN"/>
        </w:rPr>
      </w:pPr>
    </w:p>
    <w:p w14:paraId="383837DA">
      <w:pPr>
        <w:pStyle w:val="5"/>
        <w:rPr>
          <w:rFonts w:hint="eastAsia" w:ascii="Times New Roman" w:hAnsi="Times New Roman" w:cs="宋体"/>
          <w:color w:val="auto"/>
          <w:kern w:val="0"/>
          <w:sz w:val="32"/>
          <w:szCs w:val="32"/>
          <w:highlight w:val="yellow"/>
          <w:shd w:val="clear" w:color="auto" w:fill="FFFFFF"/>
          <w:lang w:val="zh-CN"/>
        </w:rPr>
      </w:pPr>
    </w:p>
    <w:p w14:paraId="4C5F318C">
      <w:pPr>
        <w:rPr>
          <w:rFonts w:hint="eastAsia" w:ascii="Times New Roman" w:hAnsi="Times New Roman" w:eastAsia="黑体" w:cs="黑体"/>
          <w:color w:val="auto"/>
          <w:kern w:val="0"/>
          <w:sz w:val="32"/>
          <w:szCs w:val="32"/>
          <w:highlight w:val="none"/>
          <w:shd w:val="clear" w:color="auto" w:fill="FFFFFF"/>
          <w:lang w:val="zh-CN"/>
        </w:rPr>
      </w:pPr>
    </w:p>
    <w:p w14:paraId="75A19356">
      <w:pPr>
        <w:rPr>
          <w:rFonts w:hint="eastAsia" w:ascii="Times New Roman" w:hAnsi="Times New Roman" w:eastAsia="黑体" w:cs="黑体"/>
          <w:color w:val="auto"/>
          <w:kern w:val="0"/>
          <w:sz w:val="32"/>
          <w:szCs w:val="32"/>
          <w:highlight w:val="none"/>
          <w:shd w:val="clear" w:color="auto" w:fill="FFFFFF"/>
          <w:lang w:val="zh-CN"/>
        </w:rPr>
      </w:pPr>
    </w:p>
    <w:p w14:paraId="694F69A8">
      <w:pPr>
        <w:rPr>
          <w:rFonts w:hint="eastAsia" w:ascii="Times New Roman" w:hAnsi="Times New Roman" w:eastAsia="黑体" w:cs="黑体"/>
          <w:color w:val="auto"/>
          <w:kern w:val="0"/>
          <w:sz w:val="32"/>
          <w:szCs w:val="32"/>
          <w:highlight w:val="none"/>
          <w:shd w:val="clear" w:color="auto" w:fill="FFFFFF"/>
          <w:lang w:val="zh-CN"/>
        </w:rPr>
      </w:pPr>
    </w:p>
    <w:p w14:paraId="397BC629">
      <w:pPr>
        <w:rPr>
          <w:rFonts w:hint="eastAsia" w:ascii="Times New Roman" w:hAnsi="Times New Roman" w:eastAsia="黑体" w:cs="黑体"/>
          <w:color w:val="auto"/>
          <w:kern w:val="0"/>
          <w:sz w:val="32"/>
          <w:szCs w:val="32"/>
          <w:highlight w:val="none"/>
          <w:shd w:val="clear" w:color="auto" w:fill="FFFFFF"/>
          <w:lang w:val="zh-CN"/>
        </w:rPr>
      </w:pPr>
    </w:p>
    <w:p w14:paraId="4363298E">
      <w:pPr>
        <w:rPr>
          <w:rFonts w:hint="eastAsia" w:ascii="Times New Roman" w:hAnsi="Times New Roman" w:eastAsia="黑体" w:cs="黑体"/>
          <w:color w:val="auto"/>
          <w:kern w:val="0"/>
          <w:sz w:val="32"/>
          <w:szCs w:val="32"/>
          <w:highlight w:val="none"/>
          <w:shd w:val="clear" w:color="auto" w:fill="FFFFFF"/>
          <w:lang w:val="zh-CN"/>
        </w:rPr>
      </w:pPr>
    </w:p>
    <w:p w14:paraId="044D073C">
      <w:pPr>
        <w:rPr>
          <w:rFonts w:hint="eastAsia" w:ascii="Times New Roman" w:hAnsi="Times New Roman" w:eastAsia="黑体" w:cs="黑体"/>
          <w:color w:val="auto"/>
          <w:kern w:val="0"/>
          <w:sz w:val="32"/>
          <w:szCs w:val="32"/>
          <w:highlight w:val="none"/>
          <w:shd w:val="clear" w:color="auto" w:fill="FFFFFF"/>
          <w:lang w:val="zh-CN"/>
        </w:rPr>
      </w:pPr>
    </w:p>
    <w:p w14:paraId="0FE93A53">
      <w:pPr>
        <w:rPr>
          <w:rFonts w:hint="eastAsia" w:ascii="Times New Roman" w:hAnsi="Times New Roman" w:eastAsia="黑体" w:cs="黑体"/>
          <w:color w:val="auto"/>
          <w:kern w:val="0"/>
          <w:sz w:val="32"/>
          <w:szCs w:val="32"/>
          <w:highlight w:val="none"/>
          <w:shd w:val="clear" w:color="auto" w:fill="FFFFFF"/>
          <w:lang w:val="zh-CN"/>
        </w:rPr>
      </w:pPr>
    </w:p>
    <w:p w14:paraId="4075B5AA">
      <w:pPr>
        <w:rPr>
          <w:rFonts w:hint="eastAsia" w:ascii="Times New Roman" w:hAnsi="Times New Roman" w:eastAsia="黑体" w:cs="黑体"/>
          <w:color w:val="auto"/>
          <w:kern w:val="0"/>
          <w:sz w:val="32"/>
          <w:szCs w:val="32"/>
          <w:highlight w:val="none"/>
          <w:shd w:val="clear" w:color="auto" w:fill="FFFFFF"/>
          <w:lang w:val="zh-CN"/>
        </w:rPr>
      </w:pPr>
    </w:p>
    <w:p w14:paraId="0BD00B72">
      <w:pPr>
        <w:rPr>
          <w:rFonts w:hint="eastAsia" w:ascii="Times New Roman" w:hAnsi="Times New Roman" w:eastAsia="黑体" w:cs="黑体"/>
          <w:color w:val="auto"/>
          <w:kern w:val="0"/>
          <w:sz w:val="32"/>
          <w:szCs w:val="32"/>
          <w:highlight w:val="none"/>
          <w:shd w:val="clear" w:color="auto" w:fill="FFFFFF"/>
          <w:lang w:val="zh-CN"/>
        </w:rPr>
      </w:pPr>
    </w:p>
    <w:p w14:paraId="2049544B">
      <w:pPr>
        <w:rPr>
          <w:rFonts w:hint="eastAsia" w:ascii="Times New Roman" w:hAnsi="Times New Roman" w:eastAsia="黑体" w:cs="黑体"/>
          <w:color w:val="auto"/>
          <w:kern w:val="0"/>
          <w:sz w:val="32"/>
          <w:szCs w:val="32"/>
          <w:highlight w:val="none"/>
          <w:shd w:val="clear" w:color="auto" w:fill="FFFFFF"/>
          <w:lang w:val="zh-CN"/>
        </w:rPr>
      </w:pPr>
    </w:p>
    <w:p w14:paraId="3CA662D1">
      <w:pPr>
        <w:rPr>
          <w:rFonts w:hint="eastAsia" w:ascii="Times New Roman" w:hAnsi="Times New Roman" w:eastAsia="黑体" w:cs="黑体"/>
          <w:color w:val="auto"/>
          <w:kern w:val="0"/>
          <w:sz w:val="32"/>
          <w:szCs w:val="32"/>
          <w:highlight w:val="none"/>
          <w:shd w:val="clear" w:color="auto" w:fill="FFFFFF"/>
          <w:lang w:val="zh-CN"/>
        </w:rPr>
      </w:pPr>
    </w:p>
    <w:p w14:paraId="022282A6">
      <w:pPr>
        <w:rPr>
          <w:rFonts w:hint="eastAsia" w:ascii="Times New Roman" w:hAnsi="Times New Roman" w:eastAsia="黑体" w:cs="黑体"/>
          <w:color w:val="auto"/>
          <w:kern w:val="0"/>
          <w:sz w:val="32"/>
          <w:szCs w:val="32"/>
          <w:highlight w:val="none"/>
          <w:shd w:val="clear" w:color="auto" w:fill="FFFFFF"/>
          <w:lang w:val="zh-CN"/>
        </w:rPr>
      </w:pPr>
    </w:p>
    <w:p w14:paraId="57B6D4C5">
      <w:pPr>
        <w:rPr>
          <w:rFonts w:hint="eastAsia" w:ascii="Times New Roman" w:hAnsi="Times New Roman" w:eastAsia="黑体" w:cs="黑体"/>
          <w:color w:val="auto"/>
          <w:kern w:val="0"/>
          <w:sz w:val="32"/>
          <w:szCs w:val="32"/>
          <w:highlight w:val="none"/>
          <w:shd w:val="clear" w:color="auto" w:fill="FFFFFF"/>
          <w:lang w:val="zh-CN"/>
        </w:rPr>
      </w:pPr>
    </w:p>
    <w:p w14:paraId="10C2A8C0">
      <w:pPr>
        <w:rPr>
          <w:rFonts w:hint="eastAsia" w:ascii="Times New Roman" w:hAnsi="Times New Roman" w:eastAsia="黑体" w:cs="黑体"/>
          <w:color w:val="auto"/>
          <w:kern w:val="0"/>
          <w:sz w:val="32"/>
          <w:szCs w:val="32"/>
          <w:highlight w:val="none"/>
          <w:shd w:val="clear" w:color="auto" w:fill="FFFFFF"/>
          <w:lang w:val="zh-CN"/>
        </w:rPr>
      </w:pPr>
    </w:p>
    <w:p w14:paraId="62CE0ED2">
      <w:pPr>
        <w:rPr>
          <w:rFonts w:hint="eastAsia" w:ascii="Times New Roman" w:hAnsi="Times New Roman" w:eastAsia="黑体" w:cs="黑体"/>
          <w:color w:val="auto"/>
          <w:kern w:val="0"/>
          <w:sz w:val="32"/>
          <w:szCs w:val="32"/>
          <w:highlight w:val="none"/>
          <w:shd w:val="clear" w:color="auto" w:fill="FFFFFF"/>
          <w:lang w:val="zh-CN"/>
        </w:rPr>
      </w:pPr>
    </w:p>
    <w:p w14:paraId="425A724C">
      <w:pPr>
        <w:rPr>
          <w:rFonts w:hint="eastAsia" w:ascii="Times New Roman" w:hAnsi="Times New Roman" w:eastAsia="黑体" w:cs="黑体"/>
          <w:color w:val="auto"/>
          <w:kern w:val="0"/>
          <w:sz w:val="32"/>
          <w:szCs w:val="32"/>
          <w:highlight w:val="none"/>
          <w:shd w:val="clear" w:color="auto" w:fill="FFFFFF"/>
          <w:lang w:val="zh-CN"/>
        </w:rPr>
      </w:pPr>
    </w:p>
    <w:p w14:paraId="7FCB619B">
      <w:pPr>
        <w:pStyle w:val="5"/>
        <w:rPr>
          <w:rFonts w:hint="eastAsia" w:ascii="Times New Roman" w:hAnsi="Times New Roman" w:eastAsia="黑体" w:cs="黑体"/>
          <w:color w:val="auto"/>
          <w:sz w:val="32"/>
          <w:szCs w:val="32"/>
          <w:highlight w:val="none"/>
          <w:lang w:val="en-US" w:eastAsia="zh-CN"/>
        </w:rPr>
      </w:pPr>
      <w:r>
        <w:rPr>
          <w:rFonts w:hint="eastAsia" w:ascii="Times New Roman" w:hAnsi="Times New Roman" w:eastAsia="黑体" w:cs="黑体"/>
          <w:color w:val="auto"/>
          <w:kern w:val="0"/>
          <w:sz w:val="32"/>
          <w:szCs w:val="32"/>
          <w:highlight w:val="none"/>
          <w:shd w:val="clear" w:color="auto" w:fill="FFFFFF"/>
          <w:lang w:val="zh-CN"/>
        </w:rPr>
        <w:t>附件</w:t>
      </w:r>
      <w:r>
        <w:rPr>
          <w:rFonts w:hint="eastAsia" w:ascii="Times New Roman" w:hAnsi="Times New Roman" w:eastAsia="黑体" w:cs="黑体"/>
          <w:color w:val="auto"/>
          <w:kern w:val="0"/>
          <w:sz w:val="32"/>
          <w:szCs w:val="32"/>
          <w:highlight w:val="none"/>
          <w:shd w:val="clear" w:color="auto" w:fill="FFFFFF"/>
          <w:lang w:val="en-US" w:eastAsia="zh-CN"/>
        </w:rPr>
        <w:t>2</w:t>
      </w:r>
    </w:p>
    <w:p w14:paraId="1B33576E">
      <w:pPr>
        <w:pStyle w:val="36"/>
        <w:keepNext w:val="0"/>
        <w:keepLines w:val="0"/>
        <w:pageBreakBefore w:val="0"/>
        <w:widowControl w:val="0"/>
        <w:kinsoku/>
        <w:wordWrap/>
        <w:overflowPunct/>
        <w:topLinePunct w:val="0"/>
        <w:autoSpaceDE/>
        <w:autoSpaceDN/>
        <w:bidi w:val="0"/>
        <w:spacing w:line="578" w:lineRule="exact"/>
        <w:ind w:left="0" w:leftChars="0"/>
        <w:jc w:val="center"/>
        <w:textAlignment w:val="auto"/>
        <w:rPr>
          <w:rFonts w:hint="eastAsia" w:ascii="Times New Roman" w:hAnsi="Times New Roman" w:eastAsia="方正小标宋简体" w:cs="方正小标宋简体"/>
          <w:color w:val="auto"/>
          <w:kern w:val="2"/>
          <w:sz w:val="44"/>
          <w:szCs w:val="44"/>
          <w:highlight w:val="none"/>
          <w:lang w:val="en-US" w:eastAsia="zh-CN"/>
        </w:rPr>
      </w:pPr>
    </w:p>
    <w:p w14:paraId="0D67CF56">
      <w:pPr>
        <w:pStyle w:val="36"/>
        <w:keepNext w:val="0"/>
        <w:keepLines w:val="0"/>
        <w:pageBreakBefore w:val="0"/>
        <w:widowControl w:val="0"/>
        <w:kinsoku/>
        <w:wordWrap/>
        <w:overflowPunct/>
        <w:topLinePunct w:val="0"/>
        <w:autoSpaceDE/>
        <w:autoSpaceDN/>
        <w:bidi w:val="0"/>
        <w:spacing w:line="578" w:lineRule="exact"/>
        <w:ind w:left="0" w:leftChars="0"/>
        <w:jc w:val="center"/>
        <w:textAlignment w:val="auto"/>
        <w:rPr>
          <w:rFonts w:hint="eastAsia" w:ascii="Times New Roman" w:hAnsi="Times New Roman" w:eastAsia="方正小标宋简体" w:cs="方正小标宋简体"/>
          <w:color w:val="auto"/>
          <w:kern w:val="2"/>
          <w:sz w:val="44"/>
          <w:szCs w:val="44"/>
          <w:highlight w:val="none"/>
          <w:lang w:val="en-US" w:eastAsia="zh-CN"/>
        </w:rPr>
      </w:pPr>
      <w:r>
        <w:rPr>
          <w:rFonts w:hint="eastAsia" w:ascii="Times New Roman" w:hAnsi="Times New Roman" w:eastAsia="方正小标宋简体" w:cs="方正小标宋简体"/>
          <w:color w:val="auto"/>
          <w:kern w:val="2"/>
          <w:sz w:val="44"/>
          <w:szCs w:val="44"/>
          <w:highlight w:val="none"/>
          <w:lang w:val="en-US" w:eastAsia="zh-CN"/>
        </w:rPr>
        <w:t>专项预算项目绩效评价报告</w:t>
      </w:r>
    </w:p>
    <w:p w14:paraId="067D56FF">
      <w:pPr>
        <w:pStyle w:val="36"/>
        <w:keepNext w:val="0"/>
        <w:keepLines w:val="0"/>
        <w:pageBreakBefore w:val="0"/>
        <w:widowControl w:val="0"/>
        <w:kinsoku/>
        <w:wordWrap/>
        <w:overflowPunct/>
        <w:topLinePunct w:val="0"/>
        <w:autoSpaceDE/>
        <w:autoSpaceDN/>
        <w:bidi w:val="0"/>
        <w:spacing w:line="578" w:lineRule="exact"/>
        <w:ind w:left="0" w:leftChars="0" w:firstLine="640"/>
        <w:jc w:val="center"/>
        <w:textAlignment w:val="auto"/>
        <w:rPr>
          <w:rFonts w:ascii="Times New Roman" w:hAnsi="Times New Roman"/>
          <w:color w:val="auto"/>
          <w:kern w:val="2"/>
          <w:sz w:val="32"/>
          <w:szCs w:val="32"/>
          <w:highlight w:val="none"/>
        </w:rPr>
      </w:pPr>
    </w:p>
    <w:p w14:paraId="70B83A42">
      <w:pPr>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ascii="Times New Roman" w:hAnsi="Times New Roman" w:eastAsia="黑体"/>
          <w:color w:val="auto"/>
          <w:sz w:val="32"/>
          <w:szCs w:val="32"/>
          <w:highlight w:val="none"/>
          <w:lang w:val="zh-CN"/>
        </w:rPr>
      </w:pPr>
      <w:r>
        <w:rPr>
          <w:rFonts w:hint="eastAsia" w:ascii="Times New Roman" w:hAnsi="Times New Roman" w:eastAsia="黑体"/>
          <w:color w:val="auto"/>
          <w:sz w:val="32"/>
          <w:szCs w:val="32"/>
          <w:highlight w:val="none"/>
        </w:rPr>
        <w:t>一、</w:t>
      </w:r>
      <w:r>
        <w:rPr>
          <w:rFonts w:hint="eastAsia" w:ascii="Times New Roman" w:hAnsi="Times New Roman" w:eastAsia="黑体"/>
          <w:color w:val="auto"/>
          <w:sz w:val="32"/>
          <w:szCs w:val="32"/>
          <w:highlight w:val="none"/>
          <w:lang w:val="zh-CN"/>
        </w:rPr>
        <w:t>项目概况</w:t>
      </w:r>
    </w:p>
    <w:p w14:paraId="1D1F7410">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3" w:firstLineChars="200"/>
        <w:jc w:val="both"/>
        <w:textAlignment w:val="auto"/>
        <w:rPr>
          <w:rFonts w:hint="eastAsia" w:ascii="Times New Roman" w:hAnsi="Times New Roman" w:eastAsia="楷体_GB2312"/>
          <w:b/>
          <w:color w:val="auto"/>
          <w:sz w:val="32"/>
          <w:szCs w:val="32"/>
          <w:highlight w:val="none"/>
          <w:u w:val="none"/>
          <w:lang w:val="zh-CN"/>
        </w:rPr>
      </w:pPr>
      <w:r>
        <w:rPr>
          <w:rFonts w:hint="eastAsia" w:ascii="Times New Roman" w:hAnsi="Times New Roman" w:eastAsia="楷体_GB2312"/>
          <w:b/>
          <w:color w:val="auto"/>
          <w:sz w:val="32"/>
          <w:szCs w:val="32"/>
          <w:highlight w:val="none"/>
          <w:u w:val="none"/>
          <w:lang w:val="zh-CN"/>
        </w:rPr>
        <w:t>（一）设立背景及基本情况。</w:t>
      </w:r>
    </w:p>
    <w:p w14:paraId="4620D412">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仿宋_GB2312" w:hAnsi="仿宋_GB2312" w:eastAsia="仿宋_GB2312" w:cs="仿宋_GB2312"/>
          <w:i w:val="0"/>
          <w:iCs w:val="0"/>
          <w:caps w:val="0"/>
          <w:color w:val="auto"/>
          <w:spacing w:val="0"/>
          <w:kern w:val="0"/>
          <w:sz w:val="32"/>
          <w:szCs w:val="32"/>
          <w:lang w:val="en-US" w:eastAsia="zh-CN" w:bidi="ar"/>
        </w:rPr>
      </w:pPr>
      <w:r>
        <w:rPr>
          <w:rFonts w:hint="eastAsia" w:ascii="仿宋_GB2312" w:hAnsi="仿宋_GB2312" w:eastAsia="仿宋_GB2312" w:cs="仿宋_GB2312"/>
          <w:i w:val="0"/>
          <w:iCs w:val="0"/>
          <w:caps w:val="0"/>
          <w:color w:val="auto"/>
          <w:spacing w:val="0"/>
          <w:kern w:val="0"/>
          <w:sz w:val="32"/>
          <w:szCs w:val="32"/>
          <w:lang w:val="en-US" w:eastAsia="zh-CN" w:bidi="ar"/>
        </w:rPr>
        <w:t>1.设立背景。</w:t>
      </w:r>
    </w:p>
    <w:p w14:paraId="1481AFF5">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仿宋_GB2312" w:hAnsi="仿宋_GB2312" w:eastAsia="仿宋_GB2312" w:cs="仿宋_GB2312"/>
          <w:i w:val="0"/>
          <w:iCs w:val="0"/>
          <w:caps w:val="0"/>
          <w:color w:val="auto"/>
          <w:spacing w:val="0"/>
          <w:kern w:val="0"/>
          <w:sz w:val="32"/>
          <w:szCs w:val="32"/>
          <w:lang w:val="en-US" w:eastAsia="zh-CN" w:bidi="ar"/>
        </w:rPr>
      </w:pPr>
      <w:r>
        <w:rPr>
          <w:rFonts w:hint="eastAsia" w:ascii="仿宋_GB2312" w:hAnsi="仿宋_GB2312" w:eastAsia="仿宋_GB2312" w:cs="仿宋_GB2312"/>
          <w:i w:val="0"/>
          <w:iCs w:val="0"/>
          <w:caps w:val="0"/>
          <w:color w:val="auto"/>
          <w:spacing w:val="0"/>
          <w:kern w:val="0"/>
          <w:sz w:val="32"/>
          <w:szCs w:val="32"/>
          <w:lang w:val="en-US" w:eastAsia="zh-CN" w:bidi="ar"/>
        </w:rPr>
        <w:t>（1）组织执行党的路线、方针、政策和国家法律法规。</w:t>
      </w:r>
    </w:p>
    <w:p w14:paraId="0A776A7E">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仿宋_GB2312" w:hAnsi="仿宋_GB2312" w:eastAsia="仿宋_GB2312" w:cs="仿宋_GB2312"/>
          <w:i w:val="0"/>
          <w:iCs w:val="0"/>
          <w:caps w:val="0"/>
          <w:color w:val="auto"/>
          <w:spacing w:val="0"/>
          <w:kern w:val="0"/>
          <w:sz w:val="32"/>
          <w:szCs w:val="32"/>
          <w:lang w:val="en-US" w:eastAsia="zh-CN" w:bidi="ar"/>
        </w:rPr>
      </w:pPr>
      <w:r>
        <w:rPr>
          <w:rFonts w:hint="eastAsia" w:ascii="仿宋_GB2312" w:hAnsi="仿宋_GB2312" w:eastAsia="仿宋_GB2312" w:cs="仿宋_GB2312"/>
          <w:i w:val="0"/>
          <w:iCs w:val="0"/>
          <w:caps w:val="0"/>
          <w:color w:val="auto"/>
          <w:spacing w:val="0"/>
          <w:kern w:val="0"/>
          <w:sz w:val="32"/>
          <w:szCs w:val="32"/>
          <w:lang w:val="en-US" w:eastAsia="zh-CN" w:bidi="ar"/>
        </w:rPr>
        <w:t>（2）贯彻国务院颁布的《粮食流通管理条例》。</w:t>
      </w:r>
    </w:p>
    <w:p w14:paraId="78430E17">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仿宋_GB2312" w:hAnsi="仿宋_GB2312" w:eastAsia="仿宋_GB2312" w:cs="仿宋_GB2312"/>
          <w:i w:val="0"/>
          <w:iCs w:val="0"/>
          <w:caps w:val="0"/>
          <w:color w:val="auto"/>
          <w:spacing w:val="0"/>
          <w:kern w:val="0"/>
          <w:sz w:val="32"/>
          <w:szCs w:val="32"/>
          <w:lang w:val="en-US" w:eastAsia="zh-CN" w:bidi="ar"/>
        </w:rPr>
      </w:pPr>
      <w:r>
        <w:rPr>
          <w:rFonts w:hint="eastAsia" w:ascii="仿宋_GB2312" w:hAnsi="仿宋_GB2312" w:eastAsia="仿宋_GB2312" w:cs="仿宋_GB2312"/>
          <w:i w:val="0"/>
          <w:iCs w:val="0"/>
          <w:caps w:val="0"/>
          <w:color w:val="auto"/>
          <w:spacing w:val="0"/>
          <w:kern w:val="0"/>
          <w:sz w:val="32"/>
          <w:szCs w:val="32"/>
          <w:lang w:val="en-US" w:eastAsia="zh-CN" w:bidi="ar"/>
        </w:rPr>
        <w:t>（3）负责全区粮食流通的行政执法和监督检查，保护粮食生产者的积极性，维护经营者和消费者权益，保障全区粮食安全，维护粮食市场秩序。</w:t>
      </w:r>
    </w:p>
    <w:p w14:paraId="66E651AA">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仿宋_GB2312" w:hAnsi="仿宋_GB2312" w:eastAsia="仿宋_GB2312" w:cs="仿宋_GB2312"/>
          <w:i w:val="0"/>
          <w:iCs w:val="0"/>
          <w:caps w:val="0"/>
          <w:color w:val="auto"/>
          <w:spacing w:val="0"/>
          <w:kern w:val="0"/>
          <w:sz w:val="32"/>
          <w:szCs w:val="32"/>
          <w:lang w:val="en-US" w:eastAsia="zh-CN" w:bidi="ar"/>
        </w:rPr>
      </w:pPr>
      <w:r>
        <w:rPr>
          <w:rFonts w:hint="eastAsia" w:ascii="仿宋_GB2312" w:hAnsi="仿宋_GB2312" w:eastAsia="仿宋_GB2312" w:cs="仿宋_GB2312"/>
          <w:i w:val="0"/>
          <w:iCs w:val="0"/>
          <w:caps w:val="0"/>
          <w:color w:val="auto"/>
          <w:spacing w:val="0"/>
          <w:kern w:val="0"/>
          <w:sz w:val="32"/>
          <w:szCs w:val="32"/>
          <w:lang w:val="en-US" w:eastAsia="zh-CN" w:bidi="ar"/>
        </w:rPr>
        <w:t>（4）负责全区粮食流通行政监督，行业指导，加强粮食宏观调控，发挥粮食单位的主渠道作用。</w:t>
      </w:r>
    </w:p>
    <w:p w14:paraId="35619F30">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仿宋_GB2312" w:hAnsi="仿宋_GB2312" w:eastAsia="仿宋_GB2312" w:cs="仿宋_GB2312"/>
          <w:i w:val="0"/>
          <w:iCs w:val="0"/>
          <w:caps w:val="0"/>
          <w:color w:val="auto"/>
          <w:spacing w:val="0"/>
          <w:kern w:val="0"/>
          <w:sz w:val="32"/>
          <w:szCs w:val="32"/>
          <w:lang w:val="en-US" w:eastAsia="zh-CN" w:bidi="ar"/>
        </w:rPr>
      </w:pPr>
      <w:r>
        <w:rPr>
          <w:rFonts w:hint="eastAsia" w:ascii="仿宋_GB2312" w:hAnsi="仿宋_GB2312" w:eastAsia="仿宋_GB2312" w:cs="仿宋_GB2312"/>
          <w:i w:val="0"/>
          <w:iCs w:val="0"/>
          <w:caps w:val="0"/>
          <w:color w:val="auto"/>
          <w:spacing w:val="0"/>
          <w:kern w:val="0"/>
          <w:sz w:val="32"/>
          <w:szCs w:val="32"/>
          <w:lang w:val="en-US" w:eastAsia="zh-CN" w:bidi="ar"/>
        </w:rPr>
        <w:t>（5）负责监管区级储备粮油，保障储备粮油的安全，建立粮食应急机制，应对突发事件。</w:t>
      </w:r>
    </w:p>
    <w:p w14:paraId="32AA6F90">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仿宋_GB2312" w:hAnsi="仿宋_GB2312" w:eastAsia="仿宋_GB2312" w:cs="仿宋_GB2312"/>
          <w:i w:val="0"/>
          <w:iCs w:val="0"/>
          <w:caps w:val="0"/>
          <w:color w:val="auto"/>
          <w:spacing w:val="0"/>
          <w:kern w:val="0"/>
          <w:sz w:val="32"/>
          <w:szCs w:val="32"/>
          <w:lang w:val="en-US" w:eastAsia="zh-CN" w:bidi="ar"/>
        </w:rPr>
      </w:pPr>
      <w:r>
        <w:rPr>
          <w:rFonts w:hint="eastAsia" w:ascii="仿宋_GB2312" w:hAnsi="仿宋_GB2312" w:eastAsia="仿宋_GB2312" w:cs="仿宋_GB2312"/>
          <w:i w:val="0"/>
          <w:iCs w:val="0"/>
          <w:caps w:val="0"/>
          <w:color w:val="auto"/>
          <w:spacing w:val="0"/>
          <w:kern w:val="0"/>
          <w:sz w:val="32"/>
          <w:szCs w:val="32"/>
          <w:lang w:val="en-US" w:eastAsia="zh-CN" w:bidi="ar"/>
        </w:rPr>
        <w:t>2.项目立项、资金申报的依据，包括但不限于：项目涉及的中省相关政策文件和规划、项目设立论证资料、资金安排相关文件等。附相关文件资料。</w:t>
      </w:r>
    </w:p>
    <w:p w14:paraId="09D6F498">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Times New Roman" w:hAnsi="Times New Roman" w:eastAsia="仿宋_GB2312" w:cs="仿宋_GB2312"/>
          <w:color w:val="auto"/>
          <w:kern w:val="0"/>
          <w:sz w:val="32"/>
          <w:szCs w:val="32"/>
          <w:highlight w:val="none"/>
          <w:u w:val="none"/>
          <w:shd w:val="clear" w:color="auto" w:fill="FFFFFF"/>
          <w:lang w:val="zh-CN"/>
        </w:rPr>
      </w:pPr>
      <w:r>
        <w:rPr>
          <w:rFonts w:hint="eastAsia" w:ascii="仿宋_GB2312" w:hAnsi="仿宋_GB2312" w:eastAsia="仿宋_GB2312" w:cs="仿宋_GB2312"/>
          <w:i w:val="0"/>
          <w:iCs w:val="0"/>
          <w:caps w:val="0"/>
          <w:color w:val="auto"/>
          <w:spacing w:val="0"/>
          <w:kern w:val="0"/>
          <w:sz w:val="32"/>
          <w:szCs w:val="32"/>
          <w:lang w:val="en-US" w:eastAsia="zh-CN" w:bidi="ar"/>
        </w:rPr>
        <w:t>按照《粮食流通管理条例》和“三定方案”的要求，金口河区粮食和物资储备中心承担全区粮油和物资储备任务。为了保证全区居民口粮供应，应对自然灾害和保障粮油市场稳定工作，我中心在2024年单位预算中，主要用于稻谷2000吨、大米100吨、菜油10吨的保管费、轮换费及银行借款利息。其依据为金府发[2013]4号，《乐山市金口河区级储备粮油管理办法》第十七条：区级储备粮的储备费用按储备总量（原粮）每年0.05元/斤补贴,轮换费用按储备总量（原粮）每年0.05元/斤补贴；区级储备油的储备费、轮换费和利息合计4万元。第十八条：区级储备粮、油的借款利息按农业发展银行同期农副产品收购贷款利率，由区财政局据实拨付。有关粮食行政主管单位粮油执法、统计经费列入。</w:t>
      </w:r>
    </w:p>
    <w:p w14:paraId="0B65AECE">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3" w:firstLineChars="200"/>
        <w:jc w:val="both"/>
        <w:textAlignment w:val="auto"/>
        <w:rPr>
          <w:rFonts w:hint="eastAsia" w:ascii="Times New Roman" w:hAnsi="Times New Roman" w:eastAsia="仿宋_GB2312" w:cs="仿宋_GB2312"/>
          <w:b w:val="0"/>
          <w:bCs w:val="0"/>
          <w:color w:val="auto"/>
          <w:kern w:val="0"/>
          <w:position w:val="0"/>
          <w:sz w:val="32"/>
          <w:szCs w:val="32"/>
          <w:highlight w:val="none"/>
          <w:lang w:val="zh-CN" w:eastAsia="zh-CN" w:bidi="ar-SA"/>
        </w:rPr>
      </w:pPr>
      <w:r>
        <w:rPr>
          <w:rFonts w:hint="eastAsia" w:ascii="Times New Roman" w:hAnsi="Times New Roman" w:eastAsia="楷体_GB2312"/>
          <w:b/>
          <w:color w:val="auto"/>
          <w:sz w:val="32"/>
          <w:szCs w:val="32"/>
          <w:highlight w:val="none"/>
          <w:u w:val="none"/>
          <w:lang w:val="zh-CN"/>
        </w:rPr>
        <w:t>（</w:t>
      </w:r>
      <w:r>
        <w:rPr>
          <w:rFonts w:hint="eastAsia" w:ascii="Times New Roman" w:hAnsi="Times New Roman" w:eastAsia="楷体_GB2312" w:cs="Times New Roman"/>
          <w:b/>
          <w:color w:val="auto"/>
          <w:sz w:val="32"/>
          <w:szCs w:val="32"/>
          <w:highlight w:val="none"/>
          <w:u w:val="none"/>
          <w:lang w:val="zh-CN"/>
        </w:rPr>
        <w:t>二）</w:t>
      </w:r>
      <w:r>
        <w:rPr>
          <w:rFonts w:hint="default" w:ascii="Times New Roman" w:hAnsi="Times New Roman" w:eastAsia="楷体_GB2312" w:cs="Times New Roman"/>
          <w:b/>
          <w:color w:val="auto"/>
          <w:sz w:val="32"/>
          <w:szCs w:val="32"/>
          <w:highlight w:val="none"/>
          <w:u w:val="none"/>
          <w:lang w:val="en-US" w:eastAsia="zh-CN"/>
        </w:rPr>
        <w:t>实施目的及支持方向</w:t>
      </w:r>
      <w:r>
        <w:rPr>
          <w:rFonts w:hint="eastAsia" w:ascii="Times New Roman" w:hAnsi="Times New Roman" w:eastAsia="楷体_GB2312" w:cs="Times New Roman"/>
          <w:b/>
          <w:color w:val="auto"/>
          <w:sz w:val="32"/>
          <w:szCs w:val="32"/>
          <w:highlight w:val="none"/>
          <w:u w:val="none"/>
          <w:lang w:val="en-US" w:eastAsia="zh-CN"/>
        </w:rPr>
        <w:t>。</w:t>
      </w:r>
      <w:r>
        <w:rPr>
          <w:rFonts w:hint="eastAsia" w:ascii="仿宋_GB2312" w:hAnsi="仿宋_GB2312" w:eastAsia="仿宋_GB2312" w:cs="仿宋_GB2312"/>
          <w:i w:val="0"/>
          <w:iCs w:val="0"/>
          <w:caps w:val="0"/>
          <w:color w:val="auto"/>
          <w:spacing w:val="0"/>
          <w:kern w:val="0"/>
          <w:sz w:val="32"/>
          <w:szCs w:val="32"/>
          <w:lang w:val="en-US" w:eastAsia="zh-CN" w:bidi="ar"/>
        </w:rPr>
        <w:t>按照《粮食流通管理条例》和“三定方案”的要求，金口河区粮食和物资储备中心承担全区粮油和物资储备任务。为了保证全区居民口粮供应，应对自然灾害和保障粮油市场稳定工作，我中心在2024年单位预算中，主要用于稻谷2000吨、大米100吨、菜油10吨的保管费、轮换费及银行借款利息。其依据为金府发[2013]4号，《乐山市金口河区级储备粮油管理办法》第十七条：区级储备粮的储备费用按储备总量（原粮）每年0.05元/斤补贴,轮换费用按储备总量（原粮）每年0.05元/斤补贴；区级储备油的储备费、轮换费和利息合计4万元。第十八条：区级储备粮、油的借款利息按农业发展银行同期农副产品收购贷款利率，由区财政局据实拨付。有关粮食行政主管单位粮油执法、统计经费列入。</w:t>
      </w:r>
    </w:p>
    <w:p w14:paraId="04FBA88A">
      <w:pPr>
        <w:keepNext w:val="0"/>
        <w:keepLines w:val="0"/>
        <w:pageBreakBefore w:val="0"/>
        <w:widowControl/>
        <w:numPr>
          <w:ilvl w:val="0"/>
          <w:numId w:val="4"/>
        </w:numPr>
        <w:kinsoku/>
        <w:wordWrap/>
        <w:overflowPunct/>
        <w:topLinePunct w:val="0"/>
        <w:autoSpaceDE/>
        <w:autoSpaceDN/>
        <w:bidi w:val="0"/>
        <w:adjustRightInd w:val="0"/>
        <w:snapToGrid w:val="0"/>
        <w:spacing w:line="578" w:lineRule="exact"/>
        <w:ind w:left="0" w:leftChars="0" w:firstLine="643" w:firstLineChars="200"/>
        <w:contextualSpacing/>
        <w:jc w:val="left"/>
        <w:textAlignment w:val="auto"/>
        <w:rPr>
          <w:rFonts w:hint="eastAsia" w:ascii="Times New Roman" w:hAnsi="Times New Roman" w:eastAsia="楷体_GB2312" w:cs="Times New Roman"/>
          <w:b/>
          <w:color w:val="auto"/>
          <w:sz w:val="32"/>
          <w:szCs w:val="32"/>
          <w:highlight w:val="none"/>
          <w:u w:val="none"/>
          <w:lang w:val="zh-CN" w:eastAsia="zh-CN"/>
        </w:rPr>
      </w:pPr>
      <w:r>
        <w:rPr>
          <w:rFonts w:hint="default" w:ascii="Times New Roman" w:hAnsi="Times New Roman" w:eastAsia="楷体_GB2312" w:cs="Times New Roman"/>
          <w:b/>
          <w:color w:val="auto"/>
          <w:sz w:val="32"/>
          <w:szCs w:val="32"/>
          <w:highlight w:val="none"/>
          <w:u w:val="none"/>
          <w:lang w:val="en-US" w:eastAsia="zh-CN"/>
        </w:rPr>
        <w:t>预算安排及分配管理</w:t>
      </w:r>
      <w:r>
        <w:rPr>
          <w:rFonts w:hint="eastAsia" w:ascii="Times New Roman" w:hAnsi="Times New Roman" w:eastAsia="楷体_GB2312" w:cs="Times New Roman"/>
          <w:b/>
          <w:color w:val="auto"/>
          <w:sz w:val="32"/>
          <w:szCs w:val="32"/>
          <w:highlight w:val="none"/>
          <w:u w:val="none"/>
          <w:lang w:val="zh-CN" w:eastAsia="zh-CN"/>
        </w:rPr>
        <w:t>。</w:t>
      </w:r>
    </w:p>
    <w:p w14:paraId="3A455AFE">
      <w:pPr>
        <w:keepNext w:val="0"/>
        <w:keepLines w:val="0"/>
        <w:pageBreakBefore w:val="0"/>
        <w:widowControl/>
        <w:numPr>
          <w:ilvl w:val="0"/>
          <w:numId w:val="0"/>
        </w:numPr>
        <w:kinsoku/>
        <w:wordWrap/>
        <w:overflowPunct/>
        <w:topLinePunct w:val="0"/>
        <w:autoSpaceDE/>
        <w:autoSpaceDN/>
        <w:bidi w:val="0"/>
        <w:adjustRightInd w:val="0"/>
        <w:snapToGrid w:val="0"/>
        <w:spacing w:line="578" w:lineRule="exact"/>
        <w:ind w:leftChars="200" w:firstLine="640" w:firstLineChars="200"/>
        <w:contextualSpacing/>
        <w:jc w:val="left"/>
        <w:textAlignment w:val="auto"/>
        <w:rPr>
          <w:rFonts w:hint="eastAsia" w:ascii="Times New Roman" w:hAnsi="Times New Roman" w:eastAsia="仿宋_GB2312" w:cs="仿宋_GB2312"/>
          <w:b w:val="0"/>
          <w:bCs w:val="0"/>
          <w:color w:val="auto"/>
          <w:kern w:val="0"/>
          <w:position w:val="0"/>
          <w:sz w:val="32"/>
          <w:szCs w:val="32"/>
          <w:highlight w:val="none"/>
          <w:lang w:val="zh-CN" w:eastAsia="zh-CN" w:bidi="ar-SA"/>
        </w:rPr>
      </w:pPr>
      <w:r>
        <w:rPr>
          <w:rFonts w:hint="eastAsia" w:ascii="仿宋_GB2312" w:hAnsi="仿宋_GB2312" w:eastAsia="仿宋_GB2312" w:cs="仿宋_GB2312"/>
          <w:i w:val="0"/>
          <w:iCs w:val="0"/>
          <w:caps w:val="0"/>
          <w:color w:val="auto"/>
          <w:spacing w:val="0"/>
          <w:kern w:val="0"/>
          <w:sz w:val="32"/>
          <w:szCs w:val="32"/>
          <w:lang w:val="en-US" w:eastAsia="zh-CN" w:bidi="ar"/>
        </w:rPr>
        <w:t>稻谷2000吨、大米100吨、菜油10吨的保管费、轮换费及银行借款利息。</w:t>
      </w:r>
    </w:p>
    <w:p w14:paraId="26B59761">
      <w:pPr>
        <w:widowControl/>
        <w:numPr>
          <w:ilvl w:val="0"/>
          <w:numId w:val="4"/>
        </w:numPr>
        <w:adjustRightInd w:val="0"/>
        <w:snapToGrid w:val="0"/>
        <w:spacing w:line="580" w:lineRule="exact"/>
        <w:ind w:left="0" w:leftChars="0" w:firstLine="643" w:firstLineChars="200"/>
        <w:contextualSpacing/>
        <w:jc w:val="left"/>
        <w:rPr>
          <w:rFonts w:hint="eastAsia" w:ascii="Times New Roman" w:hAnsi="Times New Roman" w:eastAsia="楷体_GB2312" w:cs="Times New Roman"/>
          <w:b/>
          <w:color w:val="auto"/>
          <w:sz w:val="32"/>
          <w:szCs w:val="32"/>
          <w:highlight w:val="none"/>
          <w:u w:val="none"/>
          <w:lang w:val="zh-CN" w:eastAsia="zh-CN"/>
        </w:rPr>
      </w:pPr>
      <w:r>
        <w:rPr>
          <w:rFonts w:hint="eastAsia" w:ascii="Times New Roman" w:hAnsi="Times New Roman" w:eastAsia="楷体_GB2312" w:cs="Times New Roman"/>
          <w:b/>
          <w:color w:val="auto"/>
          <w:sz w:val="32"/>
          <w:szCs w:val="32"/>
          <w:highlight w:val="none"/>
          <w:u w:val="none"/>
          <w:lang w:val="zh-CN" w:eastAsia="zh-CN"/>
        </w:rPr>
        <w:t>项目绩效目标设置。</w:t>
      </w:r>
    </w:p>
    <w:p w14:paraId="1E1140F0">
      <w:pPr>
        <w:widowControl/>
        <w:numPr>
          <w:ilvl w:val="0"/>
          <w:numId w:val="0"/>
        </w:numPr>
        <w:adjustRightInd w:val="0"/>
        <w:snapToGrid w:val="0"/>
        <w:spacing w:line="580" w:lineRule="exact"/>
        <w:ind w:firstLine="640" w:firstLineChars="200"/>
        <w:contextualSpacing/>
        <w:jc w:val="left"/>
        <w:rPr>
          <w:rFonts w:hint="eastAsia" w:ascii="仿宋_GB2312" w:hAnsi="仿宋_GB2312" w:eastAsia="仿宋_GB2312" w:cs="仿宋_GB2312"/>
          <w:color w:val="auto"/>
          <w:kern w:val="0"/>
          <w:sz w:val="32"/>
          <w:szCs w:val="32"/>
          <w:shd w:val="clear" w:color="auto" w:fill="FFFFFF"/>
          <w:lang w:val="zh-CN"/>
        </w:rPr>
      </w:pPr>
      <w:r>
        <w:rPr>
          <w:rFonts w:hint="eastAsia" w:ascii="仿宋_GB2312" w:hAnsi="仿宋_GB2312" w:eastAsia="仿宋_GB2312" w:cs="仿宋_GB2312"/>
          <w:color w:val="auto"/>
          <w:kern w:val="0"/>
          <w:sz w:val="32"/>
          <w:szCs w:val="32"/>
          <w:shd w:val="clear" w:color="auto" w:fill="FFFFFF"/>
          <w:lang w:val="en-US" w:eastAsia="zh-CN"/>
        </w:rPr>
        <w:t>1.</w:t>
      </w:r>
      <w:r>
        <w:rPr>
          <w:rFonts w:hint="eastAsia" w:ascii="仿宋_GB2312" w:hAnsi="仿宋_GB2312" w:eastAsia="仿宋_GB2312" w:cs="仿宋_GB2312"/>
          <w:color w:val="auto"/>
          <w:kern w:val="0"/>
          <w:sz w:val="32"/>
          <w:szCs w:val="32"/>
          <w:shd w:val="clear" w:color="auto" w:fill="FFFFFF"/>
          <w:lang w:val="zh-CN"/>
        </w:rPr>
        <w:t>储备粮轮换，确保粮食安全。我中心高度重视储备粮轮换工作，将储备粮轮换列入重点工作抓紧抓实，积极指导督促承储企业严格执行政治纪律和管理制度规定，加强轮换过程管理，杜绝以陈顶新、应轮未轮、弄虚作假、以次充好等行为。</w:t>
      </w:r>
    </w:p>
    <w:p w14:paraId="2A9D0064">
      <w:pPr>
        <w:widowControl/>
        <w:adjustRightInd w:val="0"/>
        <w:snapToGrid w:val="0"/>
        <w:spacing w:line="580" w:lineRule="exact"/>
        <w:ind w:firstLine="640" w:firstLineChars="200"/>
        <w:contextualSpacing/>
        <w:jc w:val="left"/>
        <w:rPr>
          <w:rFonts w:hint="eastAsia" w:ascii="仿宋_GB2312" w:hAnsi="仿宋_GB2312" w:eastAsia="仿宋_GB2312" w:cs="仿宋_GB2312"/>
          <w:color w:val="auto"/>
          <w:kern w:val="0"/>
          <w:sz w:val="32"/>
          <w:szCs w:val="32"/>
          <w:shd w:val="clear" w:color="auto" w:fill="FFFFFF"/>
          <w:lang w:val="en-US" w:eastAsia="zh-CN"/>
        </w:rPr>
      </w:pPr>
      <w:r>
        <w:rPr>
          <w:rFonts w:hint="eastAsia" w:ascii="仿宋_GB2312" w:hAnsi="仿宋_GB2312" w:eastAsia="仿宋_GB2312" w:cs="仿宋_GB2312"/>
          <w:color w:val="auto"/>
          <w:kern w:val="0"/>
          <w:sz w:val="32"/>
          <w:szCs w:val="32"/>
          <w:shd w:val="clear" w:color="auto" w:fill="FFFFFF"/>
          <w:lang w:val="en-US" w:eastAsia="zh-CN"/>
        </w:rPr>
        <w:t>2.</w:t>
      </w:r>
      <w:r>
        <w:rPr>
          <w:rFonts w:hint="eastAsia" w:ascii="仿宋_GB2312" w:hAnsi="仿宋_GB2312" w:eastAsia="仿宋_GB2312" w:cs="仿宋_GB2312"/>
          <w:color w:val="auto"/>
          <w:kern w:val="0"/>
          <w:sz w:val="32"/>
          <w:szCs w:val="32"/>
          <w:shd w:val="clear" w:color="auto" w:fill="FFFFFF"/>
          <w:lang w:val="zh-CN"/>
        </w:rPr>
        <w:t>按照政策性粮油轮换要求，我区202</w:t>
      </w:r>
      <w:r>
        <w:rPr>
          <w:rFonts w:hint="eastAsia" w:ascii="仿宋_GB2312" w:hAnsi="仿宋_GB2312" w:eastAsia="仿宋_GB2312" w:cs="仿宋_GB2312"/>
          <w:color w:val="auto"/>
          <w:kern w:val="0"/>
          <w:sz w:val="32"/>
          <w:szCs w:val="32"/>
          <w:shd w:val="clear" w:color="auto" w:fill="FFFFFF"/>
          <w:lang w:val="en-US" w:eastAsia="zh-CN"/>
        </w:rPr>
        <w:t>4</w:t>
      </w:r>
      <w:r>
        <w:rPr>
          <w:rFonts w:hint="eastAsia" w:ascii="仿宋_GB2312" w:hAnsi="仿宋_GB2312" w:eastAsia="仿宋_GB2312" w:cs="仿宋_GB2312"/>
          <w:color w:val="auto"/>
          <w:kern w:val="0"/>
          <w:sz w:val="32"/>
          <w:szCs w:val="32"/>
          <w:shd w:val="clear" w:color="auto" w:fill="FFFFFF"/>
          <w:lang w:val="zh-CN"/>
        </w:rPr>
        <w:t>年全部轮出区级储备粮成品大米</w:t>
      </w:r>
      <w:r>
        <w:rPr>
          <w:rFonts w:hint="eastAsia" w:ascii="仿宋_GB2312" w:hAnsi="仿宋_GB2312" w:eastAsia="仿宋_GB2312" w:cs="仿宋_GB2312"/>
          <w:color w:val="auto"/>
          <w:kern w:val="0"/>
          <w:sz w:val="32"/>
          <w:szCs w:val="32"/>
          <w:shd w:val="clear" w:color="auto" w:fill="FFFFFF"/>
          <w:lang w:val="en-US" w:eastAsia="zh-CN"/>
        </w:rPr>
        <w:t>100</w:t>
      </w:r>
      <w:r>
        <w:rPr>
          <w:rFonts w:hint="eastAsia" w:ascii="仿宋_GB2312" w:hAnsi="仿宋_GB2312" w:eastAsia="仿宋_GB2312" w:cs="仿宋_GB2312"/>
          <w:color w:val="auto"/>
          <w:kern w:val="0"/>
          <w:sz w:val="32"/>
          <w:szCs w:val="32"/>
          <w:shd w:val="clear" w:color="auto" w:fill="FFFFFF"/>
          <w:lang w:val="zh-CN"/>
        </w:rPr>
        <w:t>吨，原粮稻谷</w:t>
      </w:r>
      <w:r>
        <w:rPr>
          <w:rFonts w:hint="eastAsia" w:ascii="仿宋_GB2312" w:hAnsi="仿宋_GB2312" w:eastAsia="仿宋_GB2312" w:cs="仿宋_GB2312"/>
          <w:color w:val="auto"/>
          <w:kern w:val="0"/>
          <w:sz w:val="32"/>
          <w:szCs w:val="32"/>
          <w:shd w:val="clear" w:color="auto" w:fill="FFFFFF"/>
          <w:lang w:val="en-US" w:eastAsia="zh-CN"/>
        </w:rPr>
        <w:t>1000吨。轮入</w:t>
      </w:r>
      <w:r>
        <w:rPr>
          <w:rFonts w:hint="eastAsia" w:ascii="仿宋_GB2312" w:hAnsi="仿宋_GB2312" w:eastAsia="仿宋_GB2312" w:cs="仿宋_GB2312"/>
          <w:color w:val="auto"/>
          <w:kern w:val="0"/>
          <w:sz w:val="32"/>
          <w:szCs w:val="32"/>
          <w:shd w:val="clear" w:color="auto" w:fill="FFFFFF"/>
          <w:lang w:val="zh-CN"/>
        </w:rPr>
        <w:t>区级储备粮成品大米</w:t>
      </w:r>
      <w:r>
        <w:rPr>
          <w:rFonts w:hint="eastAsia" w:ascii="仿宋_GB2312" w:hAnsi="仿宋_GB2312" w:eastAsia="仿宋_GB2312" w:cs="仿宋_GB2312"/>
          <w:color w:val="auto"/>
          <w:kern w:val="0"/>
          <w:sz w:val="32"/>
          <w:szCs w:val="32"/>
          <w:shd w:val="clear" w:color="auto" w:fill="FFFFFF"/>
          <w:lang w:val="en-US" w:eastAsia="zh-CN"/>
        </w:rPr>
        <w:t>100</w:t>
      </w:r>
      <w:r>
        <w:rPr>
          <w:rFonts w:hint="eastAsia" w:ascii="仿宋_GB2312" w:hAnsi="仿宋_GB2312" w:eastAsia="仿宋_GB2312" w:cs="仿宋_GB2312"/>
          <w:color w:val="auto"/>
          <w:kern w:val="0"/>
          <w:sz w:val="32"/>
          <w:szCs w:val="32"/>
          <w:shd w:val="clear" w:color="auto" w:fill="FFFFFF"/>
          <w:lang w:val="zh-CN"/>
        </w:rPr>
        <w:t>吨，原粮稻谷</w:t>
      </w:r>
      <w:r>
        <w:rPr>
          <w:rFonts w:hint="eastAsia" w:ascii="仿宋_GB2312" w:hAnsi="仿宋_GB2312" w:eastAsia="仿宋_GB2312" w:cs="仿宋_GB2312"/>
          <w:color w:val="auto"/>
          <w:kern w:val="0"/>
          <w:sz w:val="32"/>
          <w:szCs w:val="32"/>
          <w:shd w:val="clear" w:color="auto" w:fill="FFFFFF"/>
          <w:lang w:val="en-US" w:eastAsia="zh-CN"/>
        </w:rPr>
        <w:t>1000吨。</w:t>
      </w:r>
    </w:p>
    <w:p w14:paraId="7CC79A7A">
      <w:pPr>
        <w:widowControl/>
        <w:adjustRightInd w:val="0"/>
        <w:snapToGrid w:val="0"/>
        <w:spacing w:line="580" w:lineRule="exact"/>
        <w:ind w:firstLine="640" w:firstLineChars="200"/>
        <w:contextualSpacing/>
        <w:jc w:val="left"/>
        <w:rPr>
          <w:rFonts w:hint="eastAsia" w:ascii="仿宋_GB2312" w:hAnsi="仿宋_GB2312" w:eastAsia="仿宋_GB2312" w:cs="仿宋_GB2312"/>
          <w:color w:val="auto"/>
          <w:kern w:val="0"/>
          <w:sz w:val="32"/>
          <w:szCs w:val="32"/>
          <w:shd w:val="clear" w:color="auto" w:fill="FFFFFF"/>
          <w:lang w:val="en-US" w:eastAsia="zh-CN"/>
        </w:rPr>
      </w:pPr>
      <w:r>
        <w:rPr>
          <w:rFonts w:hint="eastAsia" w:ascii="仿宋_GB2312" w:hAnsi="仿宋_GB2312" w:eastAsia="仿宋_GB2312" w:cs="仿宋_GB2312"/>
          <w:color w:val="auto"/>
          <w:kern w:val="0"/>
          <w:sz w:val="32"/>
          <w:szCs w:val="32"/>
          <w:shd w:val="clear" w:color="auto" w:fill="FFFFFF"/>
          <w:lang w:val="en-US" w:eastAsia="zh-CN"/>
        </w:rPr>
        <w:t>3.按照政策性粮油储备要求，我区2024年全区共储备2000吨原粮稻谷、100吨成品大米、10吨成品菜籽油。</w:t>
      </w:r>
    </w:p>
    <w:p w14:paraId="2694E7EE">
      <w:pPr>
        <w:widowControl/>
        <w:adjustRightInd w:val="0"/>
        <w:snapToGrid w:val="0"/>
        <w:spacing w:line="580" w:lineRule="exact"/>
        <w:ind w:firstLine="640" w:firstLineChars="200"/>
        <w:contextualSpacing/>
        <w:jc w:val="left"/>
        <w:rPr>
          <w:rFonts w:hint="eastAsia" w:ascii="仿宋_GB2312" w:hAnsi="仿宋_GB2312" w:eastAsia="仿宋_GB2312" w:cs="仿宋_GB2312"/>
          <w:color w:val="auto"/>
          <w:kern w:val="0"/>
          <w:sz w:val="32"/>
          <w:szCs w:val="32"/>
          <w:shd w:val="clear" w:color="auto" w:fill="FFFFFF"/>
          <w:lang w:val="en-US" w:eastAsia="zh-CN"/>
        </w:rPr>
      </w:pPr>
      <w:r>
        <w:rPr>
          <w:rFonts w:hint="eastAsia" w:ascii="仿宋_GB2312" w:hAnsi="仿宋_GB2312" w:eastAsia="仿宋_GB2312" w:cs="仿宋_GB2312"/>
          <w:color w:val="auto"/>
          <w:kern w:val="0"/>
          <w:sz w:val="32"/>
          <w:szCs w:val="32"/>
          <w:shd w:val="clear" w:color="auto" w:fill="FFFFFF"/>
          <w:lang w:val="en-US" w:eastAsia="zh-CN"/>
        </w:rPr>
        <w:t>4.开展粮食安全执法。对全区社会面20余家大米、面粉、成品油经营、加工企业和个体工商户进行全覆盖检查，发放食品安全宣传单。</w:t>
      </w:r>
    </w:p>
    <w:p w14:paraId="1D859E9C">
      <w:pPr>
        <w:widowControl/>
        <w:adjustRightInd w:val="0"/>
        <w:snapToGrid w:val="0"/>
        <w:spacing w:line="580" w:lineRule="exact"/>
        <w:ind w:firstLine="640" w:firstLineChars="200"/>
        <w:contextualSpacing/>
        <w:jc w:val="left"/>
        <w:rPr>
          <w:rFonts w:hint="default" w:ascii="仿宋_GB2312" w:hAnsi="仿宋_GB2312" w:eastAsia="仿宋_GB2312" w:cs="仿宋_GB2312"/>
          <w:color w:val="auto"/>
          <w:kern w:val="0"/>
          <w:sz w:val="32"/>
          <w:szCs w:val="32"/>
          <w:shd w:val="clear" w:color="auto" w:fill="FFFFFF"/>
          <w:lang w:val="en-US" w:eastAsia="zh-CN"/>
        </w:rPr>
      </w:pPr>
      <w:r>
        <w:rPr>
          <w:rFonts w:hint="eastAsia" w:ascii="仿宋_GB2312" w:hAnsi="仿宋_GB2312" w:eastAsia="仿宋_GB2312" w:cs="仿宋_GB2312"/>
          <w:color w:val="auto"/>
          <w:kern w:val="0"/>
          <w:sz w:val="32"/>
          <w:szCs w:val="32"/>
          <w:shd w:val="clear" w:color="auto" w:fill="FFFFFF"/>
          <w:lang w:val="en-US" w:eastAsia="zh-CN"/>
        </w:rPr>
        <w:t>5.物资储备保管。对市级前置物资和区级储备救灾抢险物资进行保管。</w:t>
      </w:r>
    </w:p>
    <w:p w14:paraId="7189C1EB">
      <w:pPr>
        <w:widowControl/>
        <w:adjustRightInd w:val="0"/>
        <w:snapToGrid w:val="0"/>
        <w:spacing w:line="580" w:lineRule="exact"/>
        <w:ind w:firstLine="640" w:firstLineChars="200"/>
        <w:contextualSpacing/>
        <w:jc w:val="left"/>
        <w:rPr>
          <w:rFonts w:hint="default" w:ascii="Times New Roman" w:hAnsi="Times New Roman" w:eastAsia="仿宋_GB2312" w:cs="仿宋_GB2312"/>
          <w:b w:val="0"/>
          <w:bCs w:val="0"/>
          <w:color w:val="auto"/>
          <w:kern w:val="0"/>
          <w:position w:val="0"/>
          <w:sz w:val="32"/>
          <w:szCs w:val="32"/>
          <w:highlight w:val="none"/>
          <w:lang w:val="zh-CN" w:eastAsia="zh-CN" w:bidi="ar-SA"/>
        </w:rPr>
      </w:pPr>
      <w:r>
        <w:rPr>
          <w:rFonts w:hint="eastAsia" w:ascii="仿宋_GB2312" w:hAnsi="仿宋_GB2312" w:eastAsia="仿宋_GB2312" w:cs="仿宋_GB2312"/>
          <w:color w:val="auto"/>
          <w:kern w:val="0"/>
          <w:sz w:val="32"/>
          <w:szCs w:val="32"/>
          <w:shd w:val="clear" w:color="auto" w:fill="FFFFFF"/>
          <w:lang w:val="en-US" w:eastAsia="zh-CN"/>
        </w:rPr>
        <w:t>6.日常行政机构运转。对机构人员日常工资发放，退休人员慰问，支付厂房租赁费用，保证机构日常运转。</w:t>
      </w:r>
    </w:p>
    <w:p w14:paraId="56378815">
      <w:pPr>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outlineLvl w:val="9"/>
        <w:rPr>
          <w:rFonts w:hint="eastAsia" w:ascii="Times New Roman" w:hAnsi="Times New Roman" w:eastAsia="黑体"/>
          <w:color w:val="auto"/>
          <w:sz w:val="32"/>
          <w:szCs w:val="32"/>
          <w:highlight w:val="none"/>
          <w:lang w:eastAsia="zh-CN"/>
        </w:rPr>
      </w:pPr>
      <w:r>
        <w:rPr>
          <w:rFonts w:hint="eastAsia" w:ascii="Times New Roman" w:hAnsi="Times New Roman" w:eastAsia="黑体"/>
          <w:color w:val="auto"/>
          <w:sz w:val="32"/>
          <w:szCs w:val="32"/>
          <w:highlight w:val="none"/>
        </w:rPr>
        <w:t>二、</w:t>
      </w:r>
      <w:r>
        <w:rPr>
          <w:rFonts w:hint="eastAsia" w:ascii="Times New Roman" w:hAnsi="Times New Roman" w:eastAsia="黑体"/>
          <w:color w:val="auto"/>
          <w:sz w:val="32"/>
          <w:szCs w:val="32"/>
          <w:highlight w:val="none"/>
          <w:lang w:eastAsia="zh-CN"/>
        </w:rPr>
        <w:t>评价实施</w:t>
      </w:r>
    </w:p>
    <w:p w14:paraId="24A18A56">
      <w:pPr>
        <w:widowControl/>
        <w:adjustRightInd w:val="0"/>
        <w:snapToGrid w:val="0"/>
        <w:spacing w:line="580" w:lineRule="exact"/>
        <w:ind w:firstLine="643" w:firstLineChars="200"/>
        <w:contextualSpacing/>
        <w:jc w:val="left"/>
        <w:rPr>
          <w:rFonts w:hint="eastAsia" w:ascii="Times New Roman" w:hAnsi="Times New Roman" w:eastAsia="楷体_GB2312"/>
          <w:b/>
          <w:color w:val="auto"/>
          <w:sz w:val="32"/>
          <w:szCs w:val="32"/>
          <w:highlight w:val="none"/>
          <w:u w:val="none"/>
          <w:lang w:val="zh-CN"/>
        </w:rPr>
      </w:pPr>
      <w:r>
        <w:rPr>
          <w:rFonts w:hint="eastAsia" w:ascii="Times New Roman" w:hAnsi="Times New Roman" w:eastAsia="楷体_GB2312"/>
          <w:b/>
          <w:color w:val="auto"/>
          <w:sz w:val="32"/>
          <w:szCs w:val="32"/>
          <w:highlight w:val="none"/>
          <w:u w:val="none"/>
          <w:lang w:val="zh-CN"/>
        </w:rPr>
        <w:t>（一）评价目的。</w:t>
      </w:r>
    </w:p>
    <w:p w14:paraId="0B8298A5">
      <w:pPr>
        <w:widowControl/>
        <w:adjustRightInd w:val="0"/>
        <w:snapToGrid w:val="0"/>
        <w:spacing w:line="580" w:lineRule="exact"/>
        <w:ind w:firstLine="640" w:firstLineChars="200"/>
        <w:contextualSpacing/>
        <w:jc w:val="left"/>
        <w:rPr>
          <w:rFonts w:hint="eastAsia" w:ascii="Times New Roman" w:hAnsi="Times New Roman" w:eastAsia="仿宋_GB2312" w:cs="仿宋_GB2312"/>
          <w:b w:val="0"/>
          <w:bCs w:val="0"/>
          <w:color w:val="auto"/>
          <w:kern w:val="0"/>
          <w:position w:val="0"/>
          <w:sz w:val="32"/>
          <w:szCs w:val="32"/>
          <w:highlight w:val="none"/>
          <w:lang w:val="zh-CN" w:eastAsia="zh-CN" w:bidi="ar-SA"/>
        </w:rPr>
      </w:pPr>
      <w:r>
        <w:rPr>
          <w:rFonts w:hint="eastAsia" w:ascii="仿宋_GB2312" w:hAnsi="仿宋_GB2312" w:eastAsia="仿宋_GB2312" w:cs="仿宋_GB2312"/>
          <w:color w:val="auto"/>
          <w:kern w:val="0"/>
          <w:sz w:val="32"/>
          <w:szCs w:val="32"/>
          <w:shd w:val="clear" w:color="auto" w:fill="FFFFFF"/>
          <w:lang w:val="en-US" w:eastAsia="zh-CN"/>
        </w:rPr>
        <w:t>紧紧围绕工作重点和主要目标，认真贯彻落实习近平总书记关于粮食安全系列讲话重要指示批示精神，以高度的政治自觉性统领粮食工作，积极做好保民生、促稳定的粮食安全工作。</w:t>
      </w:r>
    </w:p>
    <w:p w14:paraId="1ADFAC39">
      <w:pPr>
        <w:keepNext w:val="0"/>
        <w:keepLines w:val="0"/>
        <w:pageBreakBefore w:val="0"/>
        <w:widowControl/>
        <w:numPr>
          <w:ilvl w:val="0"/>
          <w:numId w:val="0"/>
        </w:numPr>
        <w:kinsoku/>
        <w:wordWrap/>
        <w:overflowPunct/>
        <w:topLinePunct w:val="0"/>
        <w:autoSpaceDE/>
        <w:autoSpaceDN/>
        <w:bidi w:val="0"/>
        <w:adjustRightInd w:val="0"/>
        <w:snapToGrid w:val="0"/>
        <w:spacing w:line="580" w:lineRule="exact"/>
        <w:ind w:firstLine="643" w:firstLineChars="200"/>
        <w:contextualSpacing/>
        <w:jc w:val="left"/>
        <w:textAlignment w:val="auto"/>
        <w:rPr>
          <w:rFonts w:hint="eastAsia" w:ascii="Times New Roman" w:hAnsi="Times New Roman" w:eastAsia="楷体_GB2312"/>
          <w:b/>
          <w:color w:val="auto"/>
          <w:sz w:val="32"/>
          <w:szCs w:val="32"/>
          <w:highlight w:val="none"/>
          <w:u w:val="none"/>
          <w:lang w:val="zh-CN"/>
        </w:rPr>
      </w:pPr>
      <w:r>
        <w:rPr>
          <w:rFonts w:hint="eastAsia" w:ascii="Times New Roman" w:hAnsi="Times New Roman" w:eastAsia="楷体_GB2312"/>
          <w:b/>
          <w:color w:val="auto"/>
          <w:sz w:val="32"/>
          <w:szCs w:val="32"/>
          <w:highlight w:val="none"/>
          <w:u w:val="none"/>
          <w:lang w:val="zh-CN"/>
        </w:rPr>
        <w:t>（二）预设问题及评价重点。</w:t>
      </w:r>
    </w:p>
    <w:p w14:paraId="666AAB92">
      <w:pPr>
        <w:keepNext w:val="0"/>
        <w:keepLines w:val="0"/>
        <w:pageBreakBefore w:val="0"/>
        <w:widowControl/>
        <w:numPr>
          <w:ilvl w:val="0"/>
          <w:numId w:val="0"/>
        </w:numPr>
        <w:kinsoku/>
        <w:wordWrap/>
        <w:overflowPunct/>
        <w:topLinePunct w:val="0"/>
        <w:autoSpaceDE/>
        <w:autoSpaceDN/>
        <w:bidi w:val="0"/>
        <w:adjustRightInd w:val="0"/>
        <w:snapToGrid w:val="0"/>
        <w:spacing w:line="580" w:lineRule="exact"/>
        <w:ind w:firstLine="640" w:firstLineChars="200"/>
        <w:contextualSpacing/>
        <w:jc w:val="left"/>
        <w:textAlignment w:val="auto"/>
        <w:rPr>
          <w:rFonts w:hint="eastAsia" w:ascii="仿宋" w:hAnsi="仿宋" w:eastAsia="仿宋" w:cs="仿宋"/>
          <w:color w:val="auto"/>
          <w:kern w:val="0"/>
          <w:sz w:val="32"/>
          <w:szCs w:val="32"/>
          <w:shd w:val="clear" w:color="auto" w:fill="FFFFFF"/>
          <w:lang w:val="zh-CN"/>
        </w:rPr>
      </w:pPr>
      <w:r>
        <w:rPr>
          <w:rFonts w:hint="eastAsia" w:ascii="仿宋" w:hAnsi="仿宋" w:eastAsia="仿宋" w:cs="仿宋"/>
          <w:color w:val="auto"/>
          <w:kern w:val="0"/>
          <w:sz w:val="32"/>
          <w:szCs w:val="32"/>
          <w:shd w:val="clear" w:color="auto" w:fill="FFFFFF"/>
          <w:lang w:val="zh-CN"/>
        </w:rPr>
        <w:t>1.《粮食流通管理条例》宣传力度不够，群众特别是个别粮食经营户对粮油行政执法工作不理解。</w:t>
      </w:r>
    </w:p>
    <w:p w14:paraId="5E4A5EBA">
      <w:pPr>
        <w:keepNext w:val="0"/>
        <w:keepLines w:val="0"/>
        <w:pageBreakBefore w:val="0"/>
        <w:widowControl w:val="0"/>
        <w:kinsoku/>
        <w:wordWrap/>
        <w:overflowPunct/>
        <w:topLinePunct w:val="0"/>
        <w:autoSpaceDE/>
        <w:autoSpaceDN/>
        <w:bidi w:val="0"/>
        <w:adjustRightInd w:val="0"/>
        <w:snapToGrid w:val="0"/>
        <w:spacing w:line="578" w:lineRule="exact"/>
        <w:ind w:left="0" w:leftChars="0" w:firstLine="640" w:firstLineChars="200"/>
        <w:textAlignment w:val="auto"/>
        <w:outlineLvl w:val="9"/>
        <w:rPr>
          <w:rFonts w:hint="eastAsia" w:ascii="仿宋" w:hAnsi="仿宋" w:eastAsia="仿宋" w:cs="仿宋"/>
          <w:b w:val="0"/>
          <w:bCs w:val="0"/>
          <w:color w:val="auto"/>
          <w:kern w:val="0"/>
          <w:position w:val="0"/>
          <w:sz w:val="32"/>
          <w:szCs w:val="32"/>
          <w:highlight w:val="none"/>
          <w:lang w:val="zh-CN" w:eastAsia="zh-CN" w:bidi="ar-SA"/>
        </w:rPr>
      </w:pPr>
      <w:r>
        <w:rPr>
          <w:rFonts w:hint="eastAsia" w:ascii="仿宋" w:hAnsi="仿宋" w:eastAsia="仿宋" w:cs="仿宋"/>
          <w:color w:val="auto"/>
          <w:kern w:val="0"/>
          <w:sz w:val="32"/>
          <w:szCs w:val="32"/>
          <w:shd w:val="clear" w:color="auto" w:fill="FFFFFF"/>
          <w:lang w:val="zh-CN"/>
        </w:rPr>
        <w:t>2.工作开展情况记录不完整。</w:t>
      </w:r>
    </w:p>
    <w:p w14:paraId="56BCDA37">
      <w:pPr>
        <w:keepNext w:val="0"/>
        <w:keepLines w:val="0"/>
        <w:pageBreakBefore w:val="0"/>
        <w:widowControl w:val="0"/>
        <w:kinsoku/>
        <w:wordWrap/>
        <w:overflowPunct/>
        <w:topLinePunct w:val="0"/>
        <w:autoSpaceDE/>
        <w:autoSpaceDN/>
        <w:bidi w:val="0"/>
        <w:spacing w:line="578" w:lineRule="exact"/>
        <w:ind w:firstLine="640"/>
        <w:textAlignment w:val="auto"/>
        <w:outlineLvl w:val="9"/>
        <w:rPr>
          <w:rFonts w:hint="eastAsia" w:ascii="Times New Roman" w:hAnsi="Times New Roman" w:eastAsia="楷体_GB2312"/>
          <w:b/>
          <w:color w:val="auto"/>
          <w:sz w:val="32"/>
          <w:szCs w:val="32"/>
          <w:highlight w:val="none"/>
          <w:u w:val="none"/>
          <w:lang w:val="zh-CN"/>
        </w:rPr>
      </w:pPr>
      <w:r>
        <w:rPr>
          <w:rFonts w:hint="eastAsia" w:ascii="Times New Roman" w:hAnsi="Times New Roman" w:eastAsia="楷体_GB2312"/>
          <w:b/>
          <w:color w:val="auto"/>
          <w:sz w:val="32"/>
          <w:szCs w:val="32"/>
          <w:highlight w:val="none"/>
          <w:u w:val="none"/>
          <w:lang w:val="zh-CN"/>
        </w:rPr>
        <w:t>（三）评价选点。</w:t>
      </w:r>
    </w:p>
    <w:p w14:paraId="5A9AD31D">
      <w:pPr>
        <w:keepNext w:val="0"/>
        <w:keepLines w:val="0"/>
        <w:pageBreakBefore w:val="0"/>
        <w:widowControl w:val="0"/>
        <w:kinsoku/>
        <w:wordWrap/>
        <w:overflowPunct/>
        <w:topLinePunct w:val="0"/>
        <w:autoSpaceDE/>
        <w:autoSpaceDN/>
        <w:bidi w:val="0"/>
        <w:spacing w:line="578" w:lineRule="exact"/>
        <w:ind w:firstLine="640"/>
        <w:textAlignment w:val="auto"/>
        <w:outlineLvl w:val="9"/>
        <w:rPr>
          <w:rFonts w:hint="eastAsia" w:ascii="Times New Roman" w:hAnsi="Times New Roman" w:eastAsia="楷体_GB2312"/>
          <w:b w:val="0"/>
          <w:bCs/>
          <w:color w:val="auto"/>
          <w:sz w:val="32"/>
          <w:szCs w:val="32"/>
          <w:highlight w:val="none"/>
          <w:u w:val="none"/>
          <w:lang w:val="en-US" w:eastAsia="zh-CN"/>
        </w:rPr>
      </w:pPr>
      <w:r>
        <w:rPr>
          <w:rFonts w:hint="eastAsia" w:eastAsia="楷体_GB2312"/>
          <w:b w:val="0"/>
          <w:bCs/>
          <w:color w:val="auto"/>
          <w:sz w:val="32"/>
          <w:szCs w:val="32"/>
          <w:highlight w:val="none"/>
          <w:u w:val="none"/>
          <w:lang w:val="en-US" w:eastAsia="zh-CN"/>
        </w:rPr>
        <w:t>本单位</w:t>
      </w:r>
    </w:p>
    <w:p w14:paraId="731D0F5F">
      <w:pPr>
        <w:widowControl/>
        <w:adjustRightInd w:val="0"/>
        <w:snapToGrid w:val="0"/>
        <w:spacing w:line="580" w:lineRule="exact"/>
        <w:ind w:firstLine="643" w:firstLineChars="200"/>
        <w:contextualSpacing/>
        <w:jc w:val="left"/>
        <w:rPr>
          <w:rFonts w:hint="eastAsia" w:ascii="Times New Roman" w:hAnsi="Times New Roman" w:eastAsia="楷体_GB2312"/>
          <w:b/>
          <w:color w:val="auto"/>
          <w:sz w:val="32"/>
          <w:szCs w:val="32"/>
          <w:highlight w:val="none"/>
          <w:u w:val="none"/>
          <w:lang w:val="zh-CN"/>
        </w:rPr>
      </w:pPr>
      <w:r>
        <w:rPr>
          <w:rFonts w:hint="eastAsia" w:ascii="Times New Roman" w:hAnsi="Times New Roman" w:eastAsia="楷体_GB2312"/>
          <w:b/>
          <w:color w:val="auto"/>
          <w:sz w:val="32"/>
          <w:szCs w:val="32"/>
          <w:highlight w:val="none"/>
          <w:u w:val="none"/>
          <w:lang w:val="zh-CN"/>
        </w:rPr>
        <w:t>（四）评价方法。</w:t>
      </w:r>
    </w:p>
    <w:p w14:paraId="0D761276">
      <w:pPr>
        <w:widowControl/>
        <w:adjustRightInd w:val="0"/>
        <w:snapToGrid w:val="0"/>
        <w:spacing w:line="580" w:lineRule="exact"/>
        <w:ind w:firstLine="640" w:firstLineChars="200"/>
        <w:contextualSpacing/>
        <w:jc w:val="left"/>
        <w:rPr>
          <w:rFonts w:hint="eastAsia" w:ascii="Times New Roman" w:hAnsi="Times New Roman" w:eastAsia="仿宋_GB2312" w:cs="仿宋_GB2312"/>
          <w:b w:val="0"/>
          <w:bCs w:val="0"/>
          <w:color w:val="auto"/>
          <w:kern w:val="0"/>
          <w:position w:val="0"/>
          <w:sz w:val="32"/>
          <w:szCs w:val="32"/>
          <w:highlight w:val="none"/>
          <w:lang w:val="zh-CN" w:eastAsia="zh-CN" w:bidi="ar-SA"/>
        </w:rPr>
      </w:pPr>
      <w:r>
        <w:rPr>
          <w:rFonts w:hint="eastAsia" w:ascii="仿宋" w:hAnsi="仿宋" w:eastAsia="仿宋" w:cs="仿宋"/>
          <w:color w:val="auto"/>
          <w:kern w:val="0"/>
          <w:sz w:val="32"/>
          <w:szCs w:val="32"/>
          <w:shd w:val="clear" w:color="auto" w:fill="FFFFFF"/>
          <w:lang w:val="zh-CN"/>
        </w:rPr>
        <w:t>根据考核评分细则，我单位严格按照国家的相关财务管理制度规定，财务制度健全、会计核算规范，依照计划管理使用。</w:t>
      </w:r>
    </w:p>
    <w:p w14:paraId="7E18AB27">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3" w:firstLineChars="200"/>
        <w:jc w:val="both"/>
        <w:textAlignment w:val="auto"/>
        <w:rPr>
          <w:rFonts w:hint="eastAsia" w:ascii="Times New Roman" w:hAnsi="Times New Roman" w:eastAsia="楷体_GB2312"/>
          <w:b/>
          <w:color w:val="auto"/>
          <w:sz w:val="32"/>
          <w:szCs w:val="32"/>
          <w:highlight w:val="none"/>
          <w:u w:val="none"/>
          <w:lang w:val="zh-CN"/>
        </w:rPr>
      </w:pPr>
      <w:r>
        <w:rPr>
          <w:rFonts w:hint="eastAsia" w:ascii="Times New Roman" w:hAnsi="Times New Roman" w:eastAsia="楷体_GB2312"/>
          <w:b/>
          <w:color w:val="auto"/>
          <w:sz w:val="32"/>
          <w:szCs w:val="32"/>
          <w:highlight w:val="none"/>
          <w:u w:val="none"/>
          <w:lang w:val="zh-CN"/>
        </w:rPr>
        <w:t>（五）评价组织。</w:t>
      </w:r>
    </w:p>
    <w:p w14:paraId="1B2FE79B">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Times New Roman" w:hAnsi="Times New Roman" w:eastAsia="仿宋_GB2312" w:cs="Times New Roman"/>
          <w:bCs/>
          <w:color w:val="auto"/>
          <w:lang w:eastAsia="zh-CN"/>
        </w:rPr>
      </w:pPr>
      <w:r>
        <w:rPr>
          <w:rFonts w:hint="eastAsia" w:ascii="仿宋_GB2312" w:hAnsi="仿宋_GB2312" w:eastAsia="仿宋_GB2312" w:cs="仿宋_GB2312"/>
          <w:i w:val="0"/>
          <w:iCs w:val="0"/>
          <w:caps w:val="0"/>
          <w:color w:val="auto"/>
          <w:spacing w:val="0"/>
          <w:kern w:val="0"/>
          <w:sz w:val="32"/>
          <w:szCs w:val="32"/>
          <w:lang w:val="en-US" w:eastAsia="zh-CN" w:bidi="ar"/>
        </w:rPr>
        <w:t>该项目组织实施由单位分管负责人按年初工作计划组织实施。</w:t>
      </w:r>
    </w:p>
    <w:p w14:paraId="2E62C794">
      <w:pPr>
        <w:keepNext w:val="0"/>
        <w:keepLines w:val="0"/>
        <w:pageBreakBefore w:val="0"/>
        <w:kinsoku/>
        <w:wordWrap/>
        <w:overflowPunct/>
        <w:topLinePunct w:val="0"/>
        <w:autoSpaceDE/>
        <w:autoSpaceDN/>
        <w:bidi w:val="0"/>
        <w:adjustRightInd w:val="0"/>
        <w:snapToGrid w:val="0"/>
        <w:spacing w:line="578" w:lineRule="exact"/>
        <w:ind w:firstLine="640" w:firstLineChars="200"/>
        <w:textAlignment w:val="auto"/>
        <w:rPr>
          <w:rFonts w:ascii="Times New Roman" w:hAnsi="Times New Roman"/>
          <w:color w:val="auto"/>
          <w:sz w:val="32"/>
          <w:szCs w:val="32"/>
          <w:highlight w:val="none"/>
          <w:u w:val="none"/>
          <w:lang w:val="zh-CN"/>
        </w:rPr>
      </w:pPr>
      <w:r>
        <w:rPr>
          <w:rFonts w:hint="eastAsia" w:ascii="Times New Roman" w:hAnsi="Times New Roman" w:eastAsia="黑体"/>
          <w:color w:val="auto"/>
          <w:sz w:val="32"/>
          <w:szCs w:val="32"/>
          <w:highlight w:val="none"/>
          <w:u w:val="none"/>
        </w:rPr>
        <w:t>三、</w:t>
      </w:r>
      <w:r>
        <w:rPr>
          <w:rFonts w:hint="eastAsia" w:ascii="Times New Roman" w:hAnsi="Times New Roman" w:eastAsia="黑体"/>
          <w:color w:val="auto"/>
          <w:sz w:val="32"/>
          <w:szCs w:val="32"/>
          <w:highlight w:val="none"/>
          <w:u w:val="none"/>
          <w:lang w:eastAsia="zh-CN"/>
        </w:rPr>
        <w:t>绩效分析</w:t>
      </w:r>
      <w:r>
        <w:rPr>
          <w:rFonts w:hint="eastAsia" w:ascii="Times New Roman" w:hAnsi="Times New Roman"/>
          <w:color w:val="auto"/>
          <w:sz w:val="32"/>
          <w:szCs w:val="32"/>
          <w:highlight w:val="none"/>
          <w:u w:val="none"/>
          <w:lang w:val="zh-CN"/>
        </w:rPr>
        <w:tab/>
      </w:r>
    </w:p>
    <w:p w14:paraId="213FED53">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i w:val="0"/>
          <w:iCs w:val="0"/>
          <w:caps w:val="0"/>
          <w:color w:val="auto"/>
          <w:spacing w:val="0"/>
          <w:kern w:val="0"/>
          <w:sz w:val="32"/>
          <w:szCs w:val="32"/>
          <w:lang w:val="en-US" w:eastAsia="zh-CN" w:bidi="ar"/>
        </w:rPr>
      </w:pPr>
      <w:r>
        <w:rPr>
          <w:rFonts w:hint="eastAsia" w:ascii="仿宋_GB2312" w:hAnsi="仿宋_GB2312" w:eastAsia="仿宋_GB2312" w:cs="仿宋_GB2312"/>
          <w:i w:val="0"/>
          <w:iCs w:val="0"/>
          <w:caps w:val="0"/>
          <w:color w:val="auto"/>
          <w:spacing w:val="0"/>
          <w:kern w:val="0"/>
          <w:sz w:val="32"/>
          <w:szCs w:val="32"/>
          <w:lang w:val="en-US" w:eastAsia="zh-CN" w:bidi="ar"/>
        </w:rPr>
        <w:t>年度目标完成情况 预期目标 实际完成目标</w:t>
      </w:r>
    </w:p>
    <w:p w14:paraId="72E55594">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i w:val="0"/>
          <w:iCs w:val="0"/>
          <w:caps w:val="0"/>
          <w:color w:val="auto"/>
          <w:spacing w:val="0"/>
          <w:kern w:val="0"/>
          <w:sz w:val="32"/>
          <w:szCs w:val="32"/>
          <w:lang w:val="en-US" w:eastAsia="zh-CN" w:bidi="ar"/>
        </w:rPr>
      </w:pPr>
      <w:r>
        <w:rPr>
          <w:rFonts w:hint="eastAsia" w:ascii="仿宋_GB2312" w:hAnsi="仿宋_GB2312" w:eastAsia="仿宋_GB2312" w:cs="仿宋_GB2312"/>
          <w:i w:val="0"/>
          <w:iCs w:val="0"/>
          <w:caps w:val="0"/>
          <w:color w:val="auto"/>
          <w:spacing w:val="0"/>
          <w:kern w:val="0"/>
          <w:sz w:val="32"/>
          <w:szCs w:val="32"/>
          <w:lang w:val="en-US" w:eastAsia="zh-CN" w:bidi="ar"/>
        </w:rPr>
        <w:t>维护全区粮食流通秩序，保障城乡居民、部队、学校口粮供应，保障全区粮食原粮的卫生安全及全区粮食供应总量平衡，维护社会稳定。</w:t>
      </w:r>
    </w:p>
    <w:p w14:paraId="4B9958E5">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i w:val="0"/>
          <w:iCs w:val="0"/>
          <w:caps w:val="0"/>
          <w:color w:val="auto"/>
          <w:spacing w:val="0"/>
          <w:kern w:val="0"/>
          <w:sz w:val="32"/>
          <w:szCs w:val="32"/>
          <w:lang w:val="en-US" w:eastAsia="zh-CN" w:bidi="ar"/>
        </w:rPr>
      </w:pPr>
      <w:r>
        <w:rPr>
          <w:rFonts w:hint="eastAsia" w:ascii="仿宋_GB2312" w:hAnsi="仿宋_GB2312" w:eastAsia="仿宋_GB2312" w:cs="仿宋_GB2312"/>
          <w:i w:val="0"/>
          <w:iCs w:val="0"/>
          <w:caps w:val="0"/>
          <w:color w:val="auto"/>
          <w:spacing w:val="0"/>
          <w:kern w:val="0"/>
          <w:sz w:val="32"/>
          <w:szCs w:val="32"/>
          <w:lang w:val="en-US" w:eastAsia="zh-CN" w:bidi="ar"/>
        </w:rPr>
        <w:t>维护全区粮食流通秩序，保障城乡居民、部队、学校口粮供应，保障全区粮食原粮的卫生安全及全区粮食供应总量平衡，维护社会稳定。</w:t>
      </w:r>
    </w:p>
    <w:p w14:paraId="0266A6D2">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i w:val="0"/>
          <w:iCs w:val="0"/>
          <w:caps w:val="0"/>
          <w:color w:val="auto"/>
          <w:spacing w:val="0"/>
          <w:kern w:val="0"/>
          <w:sz w:val="32"/>
          <w:szCs w:val="32"/>
          <w:lang w:val="en-US" w:eastAsia="zh-CN" w:bidi="ar"/>
        </w:rPr>
      </w:pPr>
      <w:r>
        <w:rPr>
          <w:rFonts w:hint="eastAsia" w:ascii="仿宋_GB2312" w:hAnsi="仿宋_GB2312" w:eastAsia="仿宋_GB2312" w:cs="仿宋_GB2312"/>
          <w:i w:val="0"/>
          <w:iCs w:val="0"/>
          <w:caps w:val="0"/>
          <w:color w:val="auto"/>
          <w:spacing w:val="0"/>
          <w:kern w:val="0"/>
          <w:sz w:val="32"/>
          <w:szCs w:val="32"/>
          <w:lang w:val="en-US" w:eastAsia="zh-CN" w:bidi="ar"/>
        </w:rPr>
        <w:t>绩效指标完成情况 一级指标 二级指标 三级指标 预期指标值(包含数字及文字描述) 实际完成指标值(包含数字及文字描述)</w:t>
      </w:r>
    </w:p>
    <w:p w14:paraId="6C7FB88D">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i w:val="0"/>
          <w:iCs w:val="0"/>
          <w:caps w:val="0"/>
          <w:color w:val="auto"/>
          <w:spacing w:val="0"/>
          <w:kern w:val="0"/>
          <w:sz w:val="32"/>
          <w:szCs w:val="32"/>
          <w:lang w:val="en-US" w:eastAsia="zh-CN" w:bidi="ar"/>
        </w:rPr>
      </w:pPr>
      <w:r>
        <w:rPr>
          <w:rFonts w:hint="eastAsia" w:ascii="仿宋_GB2312" w:hAnsi="仿宋_GB2312" w:eastAsia="仿宋_GB2312" w:cs="仿宋_GB2312"/>
          <w:i w:val="0"/>
          <w:iCs w:val="0"/>
          <w:caps w:val="0"/>
          <w:color w:val="auto"/>
          <w:spacing w:val="0"/>
          <w:kern w:val="0"/>
          <w:sz w:val="32"/>
          <w:szCs w:val="32"/>
          <w:lang w:val="en-US" w:eastAsia="zh-CN" w:bidi="ar"/>
        </w:rPr>
        <w:t>项目完成指标 数量 粮食数量 储备2000吨原粮、</w:t>
      </w:r>
    </w:p>
    <w:p w14:paraId="670EB679">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i w:val="0"/>
          <w:iCs w:val="0"/>
          <w:caps w:val="0"/>
          <w:color w:val="auto"/>
          <w:spacing w:val="0"/>
          <w:kern w:val="0"/>
          <w:sz w:val="32"/>
          <w:szCs w:val="32"/>
          <w:lang w:val="en-US" w:eastAsia="zh-CN" w:bidi="ar"/>
        </w:rPr>
      </w:pPr>
      <w:r>
        <w:rPr>
          <w:rFonts w:hint="eastAsia" w:ascii="仿宋_GB2312" w:hAnsi="仿宋_GB2312" w:eastAsia="仿宋_GB2312" w:cs="仿宋_GB2312"/>
          <w:i w:val="0"/>
          <w:iCs w:val="0"/>
          <w:caps w:val="0"/>
          <w:color w:val="auto"/>
          <w:spacing w:val="0"/>
          <w:kern w:val="0"/>
          <w:sz w:val="32"/>
          <w:szCs w:val="32"/>
          <w:lang w:val="en-US" w:eastAsia="zh-CN" w:bidi="ar"/>
        </w:rPr>
        <w:t>10吨菜籽油、100吨大米 储备2000吨原粮、</w:t>
      </w:r>
    </w:p>
    <w:p w14:paraId="63F2BEB2">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i w:val="0"/>
          <w:iCs w:val="0"/>
          <w:caps w:val="0"/>
          <w:color w:val="auto"/>
          <w:spacing w:val="0"/>
          <w:kern w:val="0"/>
          <w:sz w:val="32"/>
          <w:szCs w:val="32"/>
          <w:lang w:val="en-US" w:eastAsia="zh-CN" w:bidi="ar"/>
        </w:rPr>
      </w:pPr>
      <w:r>
        <w:rPr>
          <w:rFonts w:hint="eastAsia" w:ascii="仿宋_GB2312" w:hAnsi="仿宋_GB2312" w:eastAsia="仿宋_GB2312" w:cs="仿宋_GB2312"/>
          <w:i w:val="0"/>
          <w:iCs w:val="0"/>
          <w:caps w:val="0"/>
          <w:color w:val="auto"/>
          <w:spacing w:val="0"/>
          <w:kern w:val="0"/>
          <w:sz w:val="32"/>
          <w:szCs w:val="32"/>
          <w:lang w:val="en-US" w:eastAsia="zh-CN" w:bidi="ar"/>
        </w:rPr>
        <w:t>10吨菜籽油、100吨大米</w:t>
      </w:r>
    </w:p>
    <w:p w14:paraId="3E47CF05">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i w:val="0"/>
          <w:iCs w:val="0"/>
          <w:caps w:val="0"/>
          <w:color w:val="auto"/>
          <w:spacing w:val="0"/>
          <w:kern w:val="0"/>
          <w:sz w:val="32"/>
          <w:szCs w:val="32"/>
          <w:lang w:val="en-US" w:eastAsia="zh-CN" w:bidi="ar"/>
        </w:rPr>
      </w:pPr>
      <w:r>
        <w:rPr>
          <w:rFonts w:hint="eastAsia" w:ascii="仿宋_GB2312" w:hAnsi="仿宋_GB2312" w:eastAsia="仿宋_GB2312" w:cs="仿宋_GB2312"/>
          <w:i w:val="0"/>
          <w:iCs w:val="0"/>
          <w:caps w:val="0"/>
          <w:color w:val="auto"/>
          <w:spacing w:val="0"/>
          <w:kern w:val="0"/>
          <w:sz w:val="32"/>
          <w:szCs w:val="32"/>
          <w:lang w:val="en-US" w:eastAsia="zh-CN" w:bidi="ar"/>
        </w:rPr>
        <w:t>项目完成指标 质量 安全完整 保证2000吨原粮安全完整 保证2000吨原粮安全完整</w:t>
      </w:r>
    </w:p>
    <w:p w14:paraId="3EDC1553">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i w:val="0"/>
          <w:iCs w:val="0"/>
          <w:caps w:val="0"/>
          <w:color w:val="auto"/>
          <w:spacing w:val="0"/>
          <w:kern w:val="0"/>
          <w:sz w:val="32"/>
          <w:szCs w:val="32"/>
          <w:lang w:val="en-US" w:eastAsia="zh-CN" w:bidi="ar"/>
        </w:rPr>
      </w:pPr>
      <w:r>
        <w:rPr>
          <w:rFonts w:hint="eastAsia" w:ascii="仿宋_GB2312" w:hAnsi="仿宋_GB2312" w:eastAsia="仿宋_GB2312" w:cs="仿宋_GB2312"/>
          <w:i w:val="0"/>
          <w:iCs w:val="0"/>
          <w:caps w:val="0"/>
          <w:color w:val="auto"/>
          <w:spacing w:val="0"/>
          <w:kern w:val="0"/>
          <w:sz w:val="32"/>
          <w:szCs w:val="32"/>
          <w:lang w:val="en-US" w:eastAsia="zh-CN" w:bidi="ar"/>
        </w:rPr>
        <w:t>满意度指标 满意度 满意 满意 满意</w:t>
      </w:r>
    </w:p>
    <w:p w14:paraId="7A7EAA5E">
      <w:pPr>
        <w:keepNext w:val="0"/>
        <w:keepLines w:val="0"/>
        <w:pageBreakBefore w:val="0"/>
        <w:widowControl w:val="0"/>
        <w:kinsoku/>
        <w:wordWrap/>
        <w:overflowPunct/>
        <w:topLinePunct w:val="0"/>
        <w:autoSpaceDE/>
        <w:autoSpaceDN/>
        <w:bidi w:val="0"/>
        <w:adjustRightInd/>
        <w:snapToGrid/>
        <w:spacing w:line="578" w:lineRule="exact"/>
        <w:ind w:firstLine="640"/>
        <w:textAlignment w:val="auto"/>
        <w:outlineLvl w:val="9"/>
        <w:rPr>
          <w:rFonts w:hint="eastAsia" w:ascii="Times New Roman" w:hAnsi="Times New Roman" w:eastAsia="楷体_GB2312" w:cs="Times New Roman"/>
          <w:b/>
          <w:color w:val="auto"/>
          <w:sz w:val="32"/>
          <w:szCs w:val="32"/>
          <w:highlight w:val="none"/>
          <w:u w:val="none"/>
          <w:lang w:val="en-US" w:eastAsia="zh-CN"/>
        </w:rPr>
      </w:pPr>
      <w:r>
        <w:rPr>
          <w:rFonts w:hint="eastAsia" w:ascii="Times New Roman" w:hAnsi="Times New Roman" w:eastAsia="楷体_GB2312" w:cs="Times New Roman"/>
          <w:b/>
          <w:color w:val="auto"/>
          <w:sz w:val="32"/>
          <w:szCs w:val="32"/>
          <w:highlight w:val="none"/>
          <w:u w:val="none"/>
          <w:lang w:val="zh-CN"/>
        </w:rPr>
        <w:t>（一）</w:t>
      </w:r>
      <w:r>
        <w:rPr>
          <w:rFonts w:hint="eastAsia" w:ascii="Times New Roman" w:hAnsi="Times New Roman" w:eastAsia="楷体_GB2312" w:cs="Times New Roman"/>
          <w:b/>
          <w:color w:val="auto"/>
          <w:sz w:val="32"/>
          <w:szCs w:val="32"/>
          <w:highlight w:val="none"/>
          <w:u w:val="none"/>
          <w:lang w:val="en-US" w:eastAsia="zh-CN"/>
        </w:rPr>
        <w:t>通用指标</w:t>
      </w:r>
      <w:r>
        <w:rPr>
          <w:rFonts w:hint="default" w:ascii="Times New Roman" w:hAnsi="Times New Roman" w:eastAsia="楷体_GB2312" w:cs="Times New Roman"/>
          <w:b/>
          <w:bCs/>
          <w:color w:val="auto"/>
          <w:kern w:val="0"/>
          <w:sz w:val="32"/>
          <w:szCs w:val="32"/>
          <w:highlight w:val="none"/>
          <w:shd w:val="clear" w:color="auto" w:fill="FFFFFF"/>
          <w:lang w:val="zh-CN"/>
        </w:rPr>
        <w:t>绩效分析。</w:t>
      </w:r>
    </w:p>
    <w:p w14:paraId="49F08D01">
      <w:pPr>
        <w:widowControl/>
        <w:adjustRightInd w:val="0"/>
        <w:snapToGrid w:val="0"/>
        <w:spacing w:line="580" w:lineRule="exact"/>
        <w:ind w:firstLine="640" w:firstLineChars="200"/>
        <w:contextualSpacing/>
        <w:jc w:val="left"/>
        <w:rPr>
          <w:rFonts w:hint="eastAsia" w:ascii="Times New Roman" w:hAnsi="Times New Roman" w:eastAsia="仿宋_GB2312" w:cs="仿宋_GB2312"/>
          <w:b w:val="0"/>
          <w:bCs w:val="0"/>
          <w:color w:val="auto"/>
          <w:kern w:val="0"/>
          <w:position w:val="0"/>
          <w:sz w:val="32"/>
          <w:szCs w:val="32"/>
          <w:highlight w:val="none"/>
          <w:lang w:val="zh-CN" w:eastAsia="zh-CN" w:bidi="ar-SA"/>
        </w:rPr>
      </w:pPr>
      <w:r>
        <w:rPr>
          <w:rFonts w:hint="eastAsia" w:ascii="Times New Roman" w:hAnsi="Times New Roman" w:eastAsia="仿宋_GB2312" w:cs="仿宋_GB2312"/>
          <w:b w:val="0"/>
          <w:bCs w:val="0"/>
          <w:color w:val="auto"/>
          <w:kern w:val="0"/>
          <w:position w:val="0"/>
          <w:sz w:val="32"/>
          <w:szCs w:val="32"/>
          <w:highlight w:val="none"/>
          <w:lang w:val="en-US" w:eastAsia="zh-CN" w:bidi="ar-SA"/>
        </w:rPr>
        <w:t>1.</w:t>
      </w:r>
      <w:r>
        <w:rPr>
          <w:rFonts w:hint="eastAsia" w:ascii="Times New Roman" w:hAnsi="Times New Roman" w:eastAsia="仿宋_GB2312" w:cs="仿宋_GB2312"/>
          <w:b w:val="0"/>
          <w:bCs w:val="0"/>
          <w:color w:val="auto"/>
          <w:kern w:val="0"/>
          <w:position w:val="0"/>
          <w:sz w:val="32"/>
          <w:szCs w:val="32"/>
          <w:highlight w:val="none"/>
          <w:lang w:val="zh-CN" w:eastAsia="zh-CN" w:bidi="ar-SA"/>
        </w:rPr>
        <w:t>项目决策。</w:t>
      </w:r>
    </w:p>
    <w:p w14:paraId="3F2A89B8">
      <w:pPr>
        <w:widowControl/>
        <w:adjustRightInd w:val="0"/>
        <w:snapToGrid w:val="0"/>
        <w:spacing w:line="580" w:lineRule="exact"/>
        <w:ind w:firstLine="640" w:firstLineChars="200"/>
        <w:contextualSpacing/>
        <w:jc w:val="left"/>
        <w:rPr>
          <w:rFonts w:hint="eastAsia" w:ascii="仿宋_GB2312" w:hAnsi="宋体" w:eastAsia="仿宋_GB2312" w:cs="宋体"/>
          <w:color w:val="auto"/>
          <w:kern w:val="0"/>
          <w:sz w:val="32"/>
          <w:szCs w:val="32"/>
          <w:shd w:val="clear" w:color="auto" w:fill="FFFFFF"/>
          <w:lang w:val="en-US" w:eastAsia="zh-CN"/>
        </w:rPr>
      </w:pPr>
      <w:r>
        <w:rPr>
          <w:rFonts w:hint="eastAsia" w:ascii="仿宋_GB2312" w:hAnsi="宋体" w:eastAsia="仿宋_GB2312" w:cs="宋体"/>
          <w:color w:val="auto"/>
          <w:kern w:val="0"/>
          <w:sz w:val="32"/>
          <w:szCs w:val="32"/>
          <w:shd w:val="clear" w:color="auto" w:fill="FFFFFF"/>
          <w:lang w:val="en-US" w:eastAsia="zh-CN"/>
        </w:rPr>
        <w:t>2024年我中心</w:t>
      </w:r>
      <w:r>
        <w:rPr>
          <w:rFonts w:hint="eastAsia" w:ascii="仿宋_GB2312" w:hAnsi="宋体" w:eastAsia="仿宋_GB2312" w:cs="宋体"/>
          <w:color w:val="auto"/>
          <w:kern w:val="0"/>
          <w:sz w:val="32"/>
          <w:szCs w:val="32"/>
          <w:shd w:val="clear" w:color="auto" w:fill="FFFFFF"/>
          <w:lang w:val="zh-CN" w:eastAsia="zh-CN"/>
        </w:rPr>
        <w:t>特定目标类项目有：100</w:t>
      </w:r>
      <w:r>
        <w:rPr>
          <w:rFonts w:hint="eastAsia" w:ascii="仿宋_GB2312" w:hAnsi="宋体" w:eastAsia="仿宋_GB2312" w:cs="宋体"/>
          <w:color w:val="auto"/>
          <w:kern w:val="0"/>
          <w:sz w:val="32"/>
          <w:szCs w:val="32"/>
          <w:shd w:val="clear" w:color="auto" w:fill="FFFFFF"/>
          <w:lang w:val="zh-CN"/>
        </w:rPr>
        <w:t>吨大米轮换采购资金</w:t>
      </w:r>
      <w:r>
        <w:rPr>
          <w:rFonts w:hint="eastAsia" w:ascii="仿宋_GB2312" w:hAnsi="宋体" w:eastAsia="仿宋_GB2312" w:cs="宋体"/>
          <w:color w:val="auto"/>
          <w:kern w:val="0"/>
          <w:sz w:val="32"/>
          <w:szCs w:val="32"/>
          <w:shd w:val="clear" w:color="auto" w:fill="FFFFFF"/>
          <w:lang w:val="en-US" w:eastAsia="zh-CN"/>
        </w:rPr>
        <w:t>80</w:t>
      </w:r>
      <w:r>
        <w:rPr>
          <w:rFonts w:hint="eastAsia" w:ascii="仿宋_GB2312" w:hAnsi="宋体" w:eastAsia="仿宋_GB2312" w:cs="宋体"/>
          <w:color w:val="auto"/>
          <w:kern w:val="0"/>
          <w:sz w:val="32"/>
          <w:szCs w:val="32"/>
          <w:shd w:val="clear" w:color="auto" w:fill="FFFFFF"/>
          <w:lang w:val="zh-CN"/>
        </w:rPr>
        <w:t>万元;退休人员事务</w:t>
      </w:r>
      <w:r>
        <w:rPr>
          <w:rFonts w:hint="eastAsia" w:ascii="仿宋_GB2312" w:hAnsi="宋体" w:eastAsia="仿宋_GB2312" w:cs="宋体"/>
          <w:color w:val="auto"/>
          <w:kern w:val="0"/>
          <w:sz w:val="32"/>
          <w:szCs w:val="32"/>
          <w:shd w:val="clear" w:color="auto" w:fill="FFFFFF"/>
          <w:lang w:val="en-US" w:eastAsia="zh-CN"/>
        </w:rPr>
        <w:t>3.5万</w:t>
      </w:r>
      <w:r>
        <w:rPr>
          <w:rFonts w:hint="eastAsia" w:ascii="仿宋_GB2312" w:hAnsi="宋体" w:eastAsia="仿宋_GB2312" w:cs="宋体"/>
          <w:color w:val="auto"/>
          <w:kern w:val="0"/>
          <w:sz w:val="32"/>
          <w:szCs w:val="32"/>
          <w:shd w:val="clear" w:color="auto" w:fill="FFFFFF"/>
          <w:lang w:val="zh-CN"/>
        </w:rPr>
        <w:t>元；储备粮油费用补贴</w:t>
      </w:r>
      <w:r>
        <w:rPr>
          <w:rFonts w:hint="eastAsia" w:ascii="仿宋_GB2312" w:hAnsi="宋体" w:eastAsia="仿宋_GB2312" w:cs="宋体"/>
          <w:color w:val="auto"/>
          <w:kern w:val="0"/>
          <w:sz w:val="32"/>
          <w:szCs w:val="32"/>
          <w:shd w:val="clear" w:color="auto" w:fill="FFFFFF"/>
          <w:lang w:val="en-US" w:eastAsia="zh-CN"/>
        </w:rPr>
        <w:t>70.5</w:t>
      </w:r>
      <w:r>
        <w:rPr>
          <w:rFonts w:hint="eastAsia" w:ascii="仿宋_GB2312" w:hAnsi="宋体" w:eastAsia="仿宋_GB2312" w:cs="宋体"/>
          <w:color w:val="auto"/>
          <w:kern w:val="0"/>
          <w:sz w:val="32"/>
          <w:szCs w:val="32"/>
          <w:shd w:val="clear" w:color="auto" w:fill="FFFFFF"/>
          <w:lang w:val="zh-CN"/>
        </w:rPr>
        <w:t>万元；10吨成品油轮换采购资金及保管费</w:t>
      </w:r>
      <w:r>
        <w:rPr>
          <w:rFonts w:hint="eastAsia" w:ascii="仿宋_GB2312" w:hAnsi="宋体" w:eastAsia="仿宋_GB2312" w:cs="宋体"/>
          <w:color w:val="auto"/>
          <w:kern w:val="0"/>
          <w:sz w:val="32"/>
          <w:szCs w:val="32"/>
          <w:shd w:val="clear" w:color="auto" w:fill="FFFFFF"/>
          <w:lang w:val="en-US" w:eastAsia="zh-CN"/>
        </w:rPr>
        <w:t>16.6</w:t>
      </w:r>
      <w:r>
        <w:rPr>
          <w:rFonts w:hint="eastAsia" w:ascii="仿宋_GB2312" w:hAnsi="宋体" w:eastAsia="仿宋_GB2312" w:cs="宋体"/>
          <w:color w:val="auto"/>
          <w:kern w:val="0"/>
          <w:sz w:val="32"/>
          <w:szCs w:val="32"/>
          <w:shd w:val="clear" w:color="auto" w:fill="FFFFFF"/>
          <w:lang w:val="zh-CN"/>
        </w:rPr>
        <w:t>万元；100吨大米保管费用</w:t>
      </w:r>
      <w:r>
        <w:rPr>
          <w:rFonts w:hint="eastAsia" w:ascii="仿宋_GB2312" w:hAnsi="宋体" w:eastAsia="仿宋_GB2312" w:cs="宋体"/>
          <w:color w:val="auto"/>
          <w:kern w:val="0"/>
          <w:sz w:val="32"/>
          <w:szCs w:val="32"/>
          <w:shd w:val="clear" w:color="auto" w:fill="FFFFFF"/>
          <w:lang w:val="en-US" w:eastAsia="zh-CN"/>
        </w:rPr>
        <w:t>2.2</w:t>
      </w:r>
      <w:r>
        <w:rPr>
          <w:rFonts w:hint="eastAsia" w:ascii="仿宋_GB2312" w:hAnsi="宋体" w:eastAsia="仿宋_GB2312" w:cs="宋体"/>
          <w:color w:val="auto"/>
          <w:kern w:val="0"/>
          <w:sz w:val="32"/>
          <w:szCs w:val="32"/>
          <w:shd w:val="clear" w:color="auto" w:fill="FFFFFF"/>
          <w:lang w:val="zh-CN"/>
        </w:rPr>
        <w:t>万元</w:t>
      </w:r>
      <w:r>
        <w:rPr>
          <w:rFonts w:hint="eastAsia" w:ascii="仿宋_GB2312" w:hAnsi="宋体" w:eastAsia="仿宋_GB2312" w:cs="宋体"/>
          <w:color w:val="auto"/>
          <w:kern w:val="0"/>
          <w:sz w:val="32"/>
          <w:szCs w:val="32"/>
          <w:shd w:val="clear" w:color="auto" w:fill="FFFFFF"/>
          <w:lang w:val="en-US" w:eastAsia="zh-CN"/>
        </w:rPr>
        <w:t>;物资储备保管费用3万元；粮食执法经费3</w:t>
      </w:r>
      <w:r>
        <w:rPr>
          <w:rFonts w:hint="eastAsia" w:ascii="仿宋_GB2312" w:hAnsi="宋体" w:eastAsia="仿宋_GB2312" w:cs="宋体"/>
          <w:color w:val="auto"/>
          <w:kern w:val="0"/>
          <w:sz w:val="32"/>
          <w:szCs w:val="32"/>
          <w:shd w:val="clear" w:color="auto" w:fill="FFFFFF"/>
          <w:lang w:val="zh-CN"/>
        </w:rPr>
        <w:t>万元</w:t>
      </w:r>
      <w:r>
        <w:rPr>
          <w:rFonts w:hint="eastAsia" w:ascii="仿宋_GB2312" w:hAnsi="宋体" w:eastAsia="仿宋_GB2312" w:cs="宋体"/>
          <w:color w:val="auto"/>
          <w:kern w:val="0"/>
          <w:sz w:val="32"/>
          <w:szCs w:val="32"/>
          <w:shd w:val="clear" w:color="auto" w:fill="FFFFFF"/>
          <w:lang w:val="en-US" w:eastAsia="zh-CN"/>
        </w:rPr>
        <w:t>;储备库租金5万元。预算执行均为100%</w:t>
      </w:r>
    </w:p>
    <w:p w14:paraId="5FEE990C">
      <w:pPr>
        <w:keepNext w:val="0"/>
        <w:keepLines w:val="0"/>
        <w:pageBreakBefore w:val="0"/>
        <w:widowControl w:val="0"/>
        <w:kinsoku/>
        <w:wordWrap/>
        <w:overflowPunct/>
        <w:topLinePunct w:val="0"/>
        <w:autoSpaceDE/>
        <w:autoSpaceDN/>
        <w:bidi w:val="0"/>
        <w:spacing w:line="578" w:lineRule="exact"/>
        <w:ind w:firstLine="640"/>
        <w:textAlignment w:val="auto"/>
        <w:outlineLvl w:val="9"/>
        <w:rPr>
          <w:rFonts w:hint="eastAsia" w:ascii="Times New Roman" w:hAnsi="Times New Roman" w:eastAsia="仿宋_GB2312" w:cs="仿宋_GB2312"/>
          <w:b w:val="0"/>
          <w:bCs w:val="0"/>
          <w:color w:val="auto"/>
          <w:kern w:val="0"/>
          <w:position w:val="0"/>
          <w:sz w:val="32"/>
          <w:szCs w:val="32"/>
          <w:highlight w:val="none"/>
          <w:lang w:val="zh-CN" w:eastAsia="zh-CN" w:bidi="ar-SA"/>
        </w:rPr>
      </w:pPr>
      <w:r>
        <w:rPr>
          <w:rFonts w:hint="eastAsia" w:ascii="Times New Roman" w:hAnsi="Times New Roman" w:eastAsia="仿宋_GB2312" w:cs="仿宋_GB2312"/>
          <w:b w:val="0"/>
          <w:bCs w:val="0"/>
          <w:color w:val="auto"/>
          <w:kern w:val="0"/>
          <w:position w:val="0"/>
          <w:sz w:val="32"/>
          <w:szCs w:val="32"/>
          <w:highlight w:val="none"/>
          <w:lang w:val="en-US" w:eastAsia="zh-CN" w:bidi="ar-SA"/>
        </w:rPr>
        <w:t>2.</w:t>
      </w:r>
      <w:r>
        <w:rPr>
          <w:rFonts w:hint="eastAsia" w:ascii="Times New Roman" w:hAnsi="Times New Roman" w:eastAsia="仿宋_GB2312" w:cs="仿宋_GB2312"/>
          <w:b w:val="0"/>
          <w:bCs w:val="0"/>
          <w:color w:val="auto"/>
          <w:kern w:val="0"/>
          <w:position w:val="0"/>
          <w:sz w:val="32"/>
          <w:szCs w:val="32"/>
          <w:highlight w:val="none"/>
          <w:lang w:val="zh-CN" w:eastAsia="zh-CN" w:bidi="ar-SA"/>
        </w:rPr>
        <w:t>项目管理。</w:t>
      </w:r>
    </w:p>
    <w:p w14:paraId="39C5C5A8">
      <w:pPr>
        <w:keepNext w:val="0"/>
        <w:keepLines w:val="0"/>
        <w:pageBreakBefore w:val="0"/>
        <w:widowControl w:val="0"/>
        <w:kinsoku/>
        <w:wordWrap/>
        <w:overflowPunct/>
        <w:topLinePunct w:val="0"/>
        <w:autoSpaceDE/>
        <w:autoSpaceDN/>
        <w:bidi w:val="0"/>
        <w:spacing w:line="578" w:lineRule="exact"/>
        <w:ind w:firstLine="640"/>
        <w:textAlignment w:val="auto"/>
        <w:outlineLvl w:val="9"/>
        <w:rPr>
          <w:rFonts w:hint="eastAsia" w:ascii="仿宋_GB2312" w:hAnsi="仿宋_GB2312" w:eastAsia="仿宋_GB2312" w:cs="仿宋_GB2312"/>
          <w:color w:val="auto"/>
          <w:kern w:val="0"/>
          <w:sz w:val="32"/>
          <w:szCs w:val="32"/>
          <w:shd w:val="clear" w:color="auto" w:fill="FFFFFF"/>
          <w:lang w:val="en-US" w:eastAsia="zh-CN"/>
        </w:rPr>
      </w:pPr>
      <w:r>
        <w:rPr>
          <w:rFonts w:hint="eastAsia" w:ascii="仿宋_GB2312" w:hAnsi="仿宋_GB2312" w:eastAsia="仿宋_GB2312" w:cs="仿宋_GB2312"/>
          <w:color w:val="auto"/>
          <w:kern w:val="0"/>
          <w:sz w:val="32"/>
          <w:szCs w:val="32"/>
          <w:shd w:val="clear" w:color="auto" w:fill="FFFFFF"/>
          <w:lang w:val="en-US" w:eastAsia="zh-CN"/>
        </w:rPr>
        <w:t>区委、区政府的正确领导和上级主管单位的直接领导下，紧紧围绕工作重点和主要目标，认真贯彻落实习近平总书记关于粮食安全系列讲话重要指示批示精神，以高度的政治自觉性统领粮食工作，积极做好保民生、促稳定的粮食安全工作。</w:t>
      </w:r>
    </w:p>
    <w:p w14:paraId="69302D04">
      <w:pPr>
        <w:widowControl/>
        <w:numPr>
          <w:ilvl w:val="0"/>
          <w:numId w:val="0"/>
        </w:numPr>
        <w:adjustRightInd w:val="0"/>
        <w:snapToGrid w:val="0"/>
        <w:spacing w:line="580" w:lineRule="exact"/>
        <w:ind w:left="640" w:leftChars="0"/>
        <w:contextualSpacing/>
        <w:jc w:val="left"/>
        <w:rPr>
          <w:rFonts w:hint="eastAsia" w:ascii="Times New Roman" w:hAnsi="Times New Roman" w:eastAsia="仿宋_GB2312" w:cs="仿宋_GB2312"/>
          <w:b w:val="0"/>
          <w:bCs w:val="0"/>
          <w:color w:val="auto"/>
          <w:kern w:val="0"/>
          <w:position w:val="0"/>
          <w:sz w:val="32"/>
          <w:szCs w:val="32"/>
          <w:highlight w:val="none"/>
          <w:lang w:val="en-US" w:eastAsia="zh-CN" w:bidi="ar-SA"/>
        </w:rPr>
      </w:pPr>
      <w:r>
        <w:rPr>
          <w:rFonts w:hint="eastAsia" w:eastAsia="仿宋_GB2312" w:cs="仿宋_GB2312"/>
          <w:b w:val="0"/>
          <w:bCs w:val="0"/>
          <w:color w:val="auto"/>
          <w:kern w:val="0"/>
          <w:position w:val="0"/>
          <w:sz w:val="32"/>
          <w:szCs w:val="32"/>
          <w:highlight w:val="none"/>
          <w:lang w:val="en-US" w:eastAsia="zh-CN" w:bidi="ar-SA"/>
        </w:rPr>
        <w:t>3.</w:t>
      </w:r>
      <w:r>
        <w:rPr>
          <w:rFonts w:hint="eastAsia" w:ascii="Times New Roman" w:hAnsi="Times New Roman" w:eastAsia="仿宋_GB2312" w:cs="仿宋_GB2312"/>
          <w:b w:val="0"/>
          <w:bCs w:val="0"/>
          <w:color w:val="auto"/>
          <w:kern w:val="0"/>
          <w:position w:val="0"/>
          <w:sz w:val="32"/>
          <w:szCs w:val="32"/>
          <w:highlight w:val="none"/>
          <w:lang w:val="en-US" w:eastAsia="zh-CN" w:bidi="ar-SA"/>
        </w:rPr>
        <w:t>项目实施。</w:t>
      </w:r>
    </w:p>
    <w:p w14:paraId="0F7E13CD">
      <w:pPr>
        <w:widowControl/>
        <w:numPr>
          <w:ilvl w:val="0"/>
          <w:numId w:val="0"/>
        </w:numPr>
        <w:adjustRightInd w:val="0"/>
        <w:snapToGrid w:val="0"/>
        <w:spacing w:line="580" w:lineRule="exact"/>
        <w:ind w:firstLine="640" w:firstLineChars="200"/>
        <w:contextualSpacing/>
        <w:jc w:val="left"/>
        <w:rPr>
          <w:rFonts w:hint="eastAsia" w:ascii="仿宋_GB2312" w:hAnsi="仿宋_GB2312" w:eastAsia="仿宋_GB2312" w:cs="仿宋_GB2312"/>
          <w:color w:val="auto"/>
          <w:kern w:val="0"/>
          <w:sz w:val="32"/>
          <w:szCs w:val="32"/>
          <w:shd w:val="clear" w:color="auto" w:fill="FFFFFF"/>
          <w:lang w:val="zh-CN"/>
        </w:rPr>
      </w:pPr>
      <w:r>
        <w:rPr>
          <w:rFonts w:hint="eastAsia" w:ascii="仿宋_GB2312" w:hAnsi="仿宋_GB2312" w:eastAsia="仿宋_GB2312" w:cs="仿宋_GB2312"/>
          <w:color w:val="auto"/>
          <w:kern w:val="0"/>
          <w:sz w:val="32"/>
          <w:szCs w:val="32"/>
          <w:shd w:val="clear" w:color="auto" w:fill="FFFFFF"/>
          <w:lang w:val="en-US" w:eastAsia="zh-CN"/>
        </w:rPr>
        <w:t>1.</w:t>
      </w:r>
      <w:r>
        <w:rPr>
          <w:rFonts w:hint="eastAsia" w:ascii="仿宋_GB2312" w:hAnsi="仿宋_GB2312" w:eastAsia="仿宋_GB2312" w:cs="仿宋_GB2312"/>
          <w:color w:val="auto"/>
          <w:kern w:val="0"/>
          <w:sz w:val="32"/>
          <w:szCs w:val="32"/>
          <w:shd w:val="clear" w:color="auto" w:fill="FFFFFF"/>
          <w:lang w:val="zh-CN"/>
        </w:rPr>
        <w:t>储备粮轮换，确保粮食安全。我中心高度重视储备粮轮换工作，将储备粮轮换列入重点工作抓紧抓实，积极指导督促承储企业严格执行政治纪律和管理制度规定，加强轮换过程管理，杜绝以陈顶新、应轮未轮、弄虚作假、以次充好等行为。</w:t>
      </w:r>
    </w:p>
    <w:p w14:paraId="2FA3A4F5">
      <w:pPr>
        <w:widowControl/>
        <w:adjustRightInd w:val="0"/>
        <w:snapToGrid w:val="0"/>
        <w:spacing w:line="580" w:lineRule="exact"/>
        <w:ind w:firstLine="640" w:firstLineChars="200"/>
        <w:contextualSpacing/>
        <w:jc w:val="left"/>
        <w:rPr>
          <w:rFonts w:hint="eastAsia" w:ascii="仿宋_GB2312" w:hAnsi="仿宋_GB2312" w:eastAsia="仿宋_GB2312" w:cs="仿宋_GB2312"/>
          <w:color w:val="auto"/>
          <w:kern w:val="0"/>
          <w:sz w:val="32"/>
          <w:szCs w:val="32"/>
          <w:shd w:val="clear" w:color="auto" w:fill="FFFFFF"/>
          <w:lang w:val="en-US" w:eastAsia="zh-CN"/>
        </w:rPr>
      </w:pPr>
      <w:r>
        <w:rPr>
          <w:rFonts w:hint="eastAsia" w:ascii="仿宋_GB2312" w:hAnsi="仿宋_GB2312" w:eastAsia="仿宋_GB2312" w:cs="仿宋_GB2312"/>
          <w:color w:val="auto"/>
          <w:kern w:val="0"/>
          <w:sz w:val="32"/>
          <w:szCs w:val="32"/>
          <w:shd w:val="clear" w:color="auto" w:fill="FFFFFF"/>
          <w:lang w:val="en-US" w:eastAsia="zh-CN"/>
        </w:rPr>
        <w:t>2.</w:t>
      </w:r>
      <w:r>
        <w:rPr>
          <w:rFonts w:hint="eastAsia" w:ascii="仿宋_GB2312" w:hAnsi="仿宋_GB2312" w:eastAsia="仿宋_GB2312" w:cs="仿宋_GB2312"/>
          <w:color w:val="auto"/>
          <w:kern w:val="0"/>
          <w:sz w:val="32"/>
          <w:szCs w:val="32"/>
          <w:shd w:val="clear" w:color="auto" w:fill="FFFFFF"/>
          <w:lang w:val="zh-CN"/>
        </w:rPr>
        <w:t>按照政策性粮油轮换要求，我区202</w:t>
      </w:r>
      <w:r>
        <w:rPr>
          <w:rFonts w:hint="eastAsia" w:ascii="仿宋_GB2312" w:hAnsi="仿宋_GB2312" w:eastAsia="仿宋_GB2312" w:cs="仿宋_GB2312"/>
          <w:color w:val="auto"/>
          <w:kern w:val="0"/>
          <w:sz w:val="32"/>
          <w:szCs w:val="32"/>
          <w:shd w:val="clear" w:color="auto" w:fill="FFFFFF"/>
          <w:lang w:val="en-US" w:eastAsia="zh-CN"/>
        </w:rPr>
        <w:t>4</w:t>
      </w:r>
      <w:r>
        <w:rPr>
          <w:rFonts w:hint="eastAsia" w:ascii="仿宋_GB2312" w:hAnsi="仿宋_GB2312" w:eastAsia="仿宋_GB2312" w:cs="仿宋_GB2312"/>
          <w:color w:val="auto"/>
          <w:kern w:val="0"/>
          <w:sz w:val="32"/>
          <w:szCs w:val="32"/>
          <w:shd w:val="clear" w:color="auto" w:fill="FFFFFF"/>
          <w:lang w:val="zh-CN"/>
        </w:rPr>
        <w:t>年全部轮出区级储备粮成品大米</w:t>
      </w:r>
      <w:r>
        <w:rPr>
          <w:rFonts w:hint="eastAsia" w:ascii="仿宋_GB2312" w:hAnsi="仿宋_GB2312" w:eastAsia="仿宋_GB2312" w:cs="仿宋_GB2312"/>
          <w:color w:val="auto"/>
          <w:kern w:val="0"/>
          <w:sz w:val="32"/>
          <w:szCs w:val="32"/>
          <w:shd w:val="clear" w:color="auto" w:fill="FFFFFF"/>
          <w:lang w:val="en-US" w:eastAsia="zh-CN"/>
        </w:rPr>
        <w:t>100</w:t>
      </w:r>
      <w:r>
        <w:rPr>
          <w:rFonts w:hint="eastAsia" w:ascii="仿宋_GB2312" w:hAnsi="仿宋_GB2312" w:eastAsia="仿宋_GB2312" w:cs="仿宋_GB2312"/>
          <w:color w:val="auto"/>
          <w:kern w:val="0"/>
          <w:sz w:val="32"/>
          <w:szCs w:val="32"/>
          <w:shd w:val="clear" w:color="auto" w:fill="FFFFFF"/>
          <w:lang w:val="zh-CN"/>
        </w:rPr>
        <w:t>吨，原粮稻谷</w:t>
      </w:r>
      <w:r>
        <w:rPr>
          <w:rFonts w:hint="eastAsia" w:ascii="仿宋_GB2312" w:hAnsi="仿宋_GB2312" w:eastAsia="仿宋_GB2312" w:cs="仿宋_GB2312"/>
          <w:color w:val="auto"/>
          <w:kern w:val="0"/>
          <w:sz w:val="32"/>
          <w:szCs w:val="32"/>
          <w:shd w:val="clear" w:color="auto" w:fill="FFFFFF"/>
          <w:lang w:val="en-US" w:eastAsia="zh-CN"/>
        </w:rPr>
        <w:t>1000吨。轮入</w:t>
      </w:r>
      <w:r>
        <w:rPr>
          <w:rFonts w:hint="eastAsia" w:ascii="仿宋_GB2312" w:hAnsi="仿宋_GB2312" w:eastAsia="仿宋_GB2312" w:cs="仿宋_GB2312"/>
          <w:color w:val="auto"/>
          <w:kern w:val="0"/>
          <w:sz w:val="32"/>
          <w:szCs w:val="32"/>
          <w:shd w:val="clear" w:color="auto" w:fill="FFFFFF"/>
          <w:lang w:val="zh-CN"/>
        </w:rPr>
        <w:t>区级储备粮成品大米</w:t>
      </w:r>
      <w:r>
        <w:rPr>
          <w:rFonts w:hint="eastAsia" w:ascii="仿宋_GB2312" w:hAnsi="仿宋_GB2312" w:eastAsia="仿宋_GB2312" w:cs="仿宋_GB2312"/>
          <w:color w:val="auto"/>
          <w:kern w:val="0"/>
          <w:sz w:val="32"/>
          <w:szCs w:val="32"/>
          <w:shd w:val="clear" w:color="auto" w:fill="FFFFFF"/>
          <w:lang w:val="en-US" w:eastAsia="zh-CN"/>
        </w:rPr>
        <w:t>100</w:t>
      </w:r>
      <w:r>
        <w:rPr>
          <w:rFonts w:hint="eastAsia" w:ascii="仿宋_GB2312" w:hAnsi="仿宋_GB2312" w:eastAsia="仿宋_GB2312" w:cs="仿宋_GB2312"/>
          <w:color w:val="auto"/>
          <w:kern w:val="0"/>
          <w:sz w:val="32"/>
          <w:szCs w:val="32"/>
          <w:shd w:val="clear" w:color="auto" w:fill="FFFFFF"/>
          <w:lang w:val="zh-CN"/>
        </w:rPr>
        <w:t>吨，原粮稻谷</w:t>
      </w:r>
      <w:r>
        <w:rPr>
          <w:rFonts w:hint="eastAsia" w:ascii="仿宋_GB2312" w:hAnsi="仿宋_GB2312" w:eastAsia="仿宋_GB2312" w:cs="仿宋_GB2312"/>
          <w:color w:val="auto"/>
          <w:kern w:val="0"/>
          <w:sz w:val="32"/>
          <w:szCs w:val="32"/>
          <w:shd w:val="clear" w:color="auto" w:fill="FFFFFF"/>
          <w:lang w:val="en-US" w:eastAsia="zh-CN"/>
        </w:rPr>
        <w:t>1000吨。</w:t>
      </w:r>
    </w:p>
    <w:p w14:paraId="0EC0D1D0">
      <w:pPr>
        <w:widowControl/>
        <w:adjustRightInd w:val="0"/>
        <w:snapToGrid w:val="0"/>
        <w:spacing w:line="580" w:lineRule="exact"/>
        <w:ind w:firstLine="640" w:firstLineChars="200"/>
        <w:contextualSpacing/>
        <w:jc w:val="left"/>
        <w:rPr>
          <w:rFonts w:hint="eastAsia" w:ascii="仿宋_GB2312" w:hAnsi="仿宋_GB2312" w:eastAsia="仿宋_GB2312" w:cs="仿宋_GB2312"/>
          <w:color w:val="auto"/>
          <w:kern w:val="0"/>
          <w:sz w:val="32"/>
          <w:szCs w:val="32"/>
          <w:shd w:val="clear" w:color="auto" w:fill="FFFFFF"/>
          <w:lang w:val="en-US" w:eastAsia="zh-CN"/>
        </w:rPr>
      </w:pPr>
      <w:r>
        <w:rPr>
          <w:rFonts w:hint="eastAsia" w:ascii="仿宋_GB2312" w:hAnsi="仿宋_GB2312" w:eastAsia="仿宋_GB2312" w:cs="仿宋_GB2312"/>
          <w:color w:val="auto"/>
          <w:kern w:val="0"/>
          <w:sz w:val="32"/>
          <w:szCs w:val="32"/>
          <w:shd w:val="clear" w:color="auto" w:fill="FFFFFF"/>
          <w:lang w:val="en-US" w:eastAsia="zh-CN"/>
        </w:rPr>
        <w:t>3.按照政策性粮油储备要求，我区2024年全区共储备2000吨原粮稻谷、100吨成品大米、10吨成品菜籽油。</w:t>
      </w:r>
    </w:p>
    <w:p w14:paraId="506B2604">
      <w:pPr>
        <w:widowControl/>
        <w:adjustRightInd w:val="0"/>
        <w:snapToGrid w:val="0"/>
        <w:spacing w:line="580" w:lineRule="exact"/>
        <w:ind w:firstLine="640" w:firstLineChars="200"/>
        <w:contextualSpacing/>
        <w:jc w:val="left"/>
        <w:rPr>
          <w:rFonts w:hint="eastAsia" w:ascii="仿宋_GB2312" w:hAnsi="仿宋_GB2312" w:eastAsia="仿宋_GB2312" w:cs="仿宋_GB2312"/>
          <w:color w:val="auto"/>
          <w:kern w:val="0"/>
          <w:sz w:val="32"/>
          <w:szCs w:val="32"/>
          <w:shd w:val="clear" w:color="auto" w:fill="FFFFFF"/>
          <w:lang w:val="en-US" w:eastAsia="zh-CN"/>
        </w:rPr>
      </w:pPr>
      <w:r>
        <w:rPr>
          <w:rFonts w:hint="eastAsia" w:ascii="仿宋_GB2312" w:hAnsi="仿宋_GB2312" w:eastAsia="仿宋_GB2312" w:cs="仿宋_GB2312"/>
          <w:color w:val="auto"/>
          <w:kern w:val="0"/>
          <w:sz w:val="32"/>
          <w:szCs w:val="32"/>
          <w:shd w:val="clear" w:color="auto" w:fill="FFFFFF"/>
          <w:lang w:val="en-US" w:eastAsia="zh-CN"/>
        </w:rPr>
        <w:t>4.开展粮食安全执法。对全区社会面20余家大米、面粉、成品油经营、加工企业和个体工商户进行全覆盖检查，发放食品安全宣传单。</w:t>
      </w:r>
    </w:p>
    <w:p w14:paraId="3F2B1FEC">
      <w:pPr>
        <w:widowControl/>
        <w:adjustRightInd w:val="0"/>
        <w:snapToGrid w:val="0"/>
        <w:spacing w:line="580" w:lineRule="exact"/>
        <w:ind w:firstLine="640" w:firstLineChars="200"/>
        <w:contextualSpacing/>
        <w:jc w:val="left"/>
        <w:rPr>
          <w:rFonts w:hint="default" w:ascii="仿宋_GB2312" w:hAnsi="仿宋_GB2312" w:eastAsia="仿宋_GB2312" w:cs="仿宋_GB2312"/>
          <w:color w:val="auto"/>
          <w:kern w:val="0"/>
          <w:sz w:val="32"/>
          <w:szCs w:val="32"/>
          <w:shd w:val="clear" w:color="auto" w:fill="FFFFFF"/>
          <w:lang w:val="en-US" w:eastAsia="zh-CN"/>
        </w:rPr>
      </w:pPr>
      <w:r>
        <w:rPr>
          <w:rFonts w:hint="eastAsia" w:ascii="仿宋_GB2312" w:hAnsi="仿宋_GB2312" w:eastAsia="仿宋_GB2312" w:cs="仿宋_GB2312"/>
          <w:color w:val="auto"/>
          <w:kern w:val="0"/>
          <w:sz w:val="32"/>
          <w:szCs w:val="32"/>
          <w:shd w:val="clear" w:color="auto" w:fill="FFFFFF"/>
          <w:lang w:val="en-US" w:eastAsia="zh-CN"/>
        </w:rPr>
        <w:t>5.物资储备保管。对市级前置物资和区级储备救灾抢险物资进行保管。</w:t>
      </w:r>
    </w:p>
    <w:p w14:paraId="10DFDDFF">
      <w:pPr>
        <w:widowControl/>
        <w:adjustRightInd w:val="0"/>
        <w:snapToGrid w:val="0"/>
        <w:spacing w:line="580" w:lineRule="exact"/>
        <w:ind w:firstLine="640" w:firstLineChars="200"/>
        <w:contextualSpacing/>
        <w:jc w:val="left"/>
        <w:rPr>
          <w:rFonts w:hint="default" w:ascii="仿宋_GB2312" w:hAnsi="仿宋_GB2312" w:eastAsia="仿宋_GB2312" w:cs="仿宋_GB2312"/>
          <w:color w:val="auto"/>
          <w:kern w:val="0"/>
          <w:sz w:val="32"/>
          <w:szCs w:val="32"/>
          <w:shd w:val="clear" w:color="auto" w:fill="FFFFFF"/>
          <w:lang w:val="en-US" w:eastAsia="zh-CN"/>
        </w:rPr>
      </w:pPr>
      <w:r>
        <w:rPr>
          <w:rFonts w:hint="eastAsia" w:ascii="仿宋_GB2312" w:hAnsi="仿宋_GB2312" w:eastAsia="仿宋_GB2312" w:cs="仿宋_GB2312"/>
          <w:color w:val="auto"/>
          <w:kern w:val="0"/>
          <w:sz w:val="32"/>
          <w:szCs w:val="32"/>
          <w:shd w:val="clear" w:color="auto" w:fill="FFFFFF"/>
          <w:lang w:val="en-US" w:eastAsia="zh-CN"/>
        </w:rPr>
        <w:t>6.日常行政机构运转。对机构人员日常工资发放，退休人员慰问，支付厂房租赁费用，保证机构日常运转。</w:t>
      </w:r>
    </w:p>
    <w:p w14:paraId="4C164EAC">
      <w:pPr>
        <w:keepNext w:val="0"/>
        <w:keepLines w:val="0"/>
        <w:pageBreakBefore w:val="0"/>
        <w:widowControl w:val="0"/>
        <w:kinsoku/>
        <w:wordWrap/>
        <w:overflowPunct/>
        <w:topLinePunct w:val="0"/>
        <w:autoSpaceDE/>
        <w:autoSpaceDN/>
        <w:bidi w:val="0"/>
        <w:spacing w:line="578" w:lineRule="exact"/>
        <w:textAlignment w:val="auto"/>
        <w:outlineLvl w:val="9"/>
        <w:rPr>
          <w:rFonts w:hint="eastAsia" w:ascii="Times New Roman" w:hAnsi="Times New Roman" w:eastAsia="仿宋_GB2312" w:cs="仿宋_GB2312"/>
          <w:b w:val="0"/>
          <w:bCs w:val="0"/>
          <w:color w:val="auto"/>
          <w:kern w:val="0"/>
          <w:position w:val="0"/>
          <w:sz w:val="32"/>
          <w:szCs w:val="32"/>
          <w:highlight w:val="none"/>
          <w:lang w:val="zh-CN" w:eastAsia="zh-CN" w:bidi="ar-SA"/>
        </w:rPr>
      </w:pPr>
    </w:p>
    <w:p w14:paraId="022A21AC">
      <w:pPr>
        <w:keepNext w:val="0"/>
        <w:keepLines w:val="0"/>
        <w:pageBreakBefore w:val="0"/>
        <w:widowControl w:val="0"/>
        <w:numPr>
          <w:ilvl w:val="0"/>
          <w:numId w:val="0"/>
        </w:numPr>
        <w:kinsoku/>
        <w:wordWrap/>
        <w:overflowPunct/>
        <w:topLinePunct w:val="0"/>
        <w:autoSpaceDE/>
        <w:autoSpaceDN/>
        <w:bidi w:val="0"/>
        <w:spacing w:line="578" w:lineRule="exact"/>
        <w:ind w:firstLine="640" w:firstLineChars="200"/>
        <w:textAlignment w:val="auto"/>
        <w:outlineLvl w:val="9"/>
        <w:rPr>
          <w:rFonts w:hint="eastAsia" w:ascii="Times New Roman" w:hAnsi="Times New Roman" w:eastAsia="仿宋_GB2312" w:cs="仿宋_GB2312"/>
          <w:b w:val="0"/>
          <w:bCs w:val="0"/>
          <w:color w:val="auto"/>
          <w:kern w:val="0"/>
          <w:position w:val="0"/>
          <w:sz w:val="32"/>
          <w:szCs w:val="32"/>
          <w:highlight w:val="none"/>
          <w:lang w:val="en-US" w:eastAsia="zh-CN" w:bidi="ar-SA"/>
        </w:rPr>
      </w:pPr>
      <w:r>
        <w:rPr>
          <w:rFonts w:hint="eastAsia" w:eastAsia="仿宋_GB2312" w:cs="仿宋_GB2312"/>
          <w:b w:val="0"/>
          <w:bCs w:val="0"/>
          <w:color w:val="auto"/>
          <w:kern w:val="0"/>
          <w:position w:val="0"/>
          <w:sz w:val="32"/>
          <w:szCs w:val="32"/>
          <w:highlight w:val="none"/>
          <w:lang w:val="en-US" w:eastAsia="zh-CN" w:bidi="ar-SA"/>
        </w:rPr>
        <w:t>4.</w:t>
      </w:r>
      <w:r>
        <w:rPr>
          <w:rFonts w:hint="eastAsia" w:ascii="Times New Roman" w:hAnsi="Times New Roman" w:eastAsia="仿宋_GB2312" w:cs="仿宋_GB2312"/>
          <w:b w:val="0"/>
          <w:bCs w:val="0"/>
          <w:color w:val="auto"/>
          <w:kern w:val="0"/>
          <w:position w:val="0"/>
          <w:sz w:val="32"/>
          <w:szCs w:val="32"/>
          <w:highlight w:val="none"/>
          <w:lang w:val="en-US" w:eastAsia="zh-CN" w:bidi="ar-SA"/>
        </w:rPr>
        <w:t>项目结果。</w:t>
      </w:r>
    </w:p>
    <w:p w14:paraId="7C30EBC9">
      <w:pPr>
        <w:keepNext w:val="0"/>
        <w:keepLines w:val="0"/>
        <w:pageBreakBefore w:val="0"/>
        <w:widowControl w:val="0"/>
        <w:numPr>
          <w:ilvl w:val="0"/>
          <w:numId w:val="0"/>
        </w:numPr>
        <w:kinsoku/>
        <w:wordWrap/>
        <w:overflowPunct/>
        <w:topLinePunct w:val="0"/>
        <w:autoSpaceDE/>
        <w:autoSpaceDN/>
        <w:bidi w:val="0"/>
        <w:spacing w:line="578" w:lineRule="exact"/>
        <w:ind w:firstLine="640" w:firstLineChars="200"/>
        <w:textAlignment w:val="auto"/>
        <w:outlineLvl w:val="9"/>
        <w:rPr>
          <w:rFonts w:hint="eastAsia" w:ascii="Times New Roman" w:hAnsi="Times New Roman" w:eastAsia="仿宋_GB2312" w:cs="仿宋_GB2312"/>
          <w:b w:val="0"/>
          <w:bCs w:val="0"/>
          <w:color w:val="auto"/>
          <w:kern w:val="0"/>
          <w:position w:val="0"/>
          <w:sz w:val="32"/>
          <w:szCs w:val="32"/>
          <w:highlight w:val="none"/>
          <w:lang w:val="zh-CN" w:eastAsia="zh-CN" w:bidi="ar-SA"/>
        </w:rPr>
      </w:pPr>
      <w:r>
        <w:rPr>
          <w:rFonts w:hint="eastAsia" w:ascii="仿宋_GB2312" w:hAnsi="宋体" w:eastAsia="仿宋_GB2312" w:cs="宋体"/>
          <w:color w:val="auto"/>
          <w:kern w:val="0"/>
          <w:sz w:val="32"/>
          <w:szCs w:val="32"/>
          <w:shd w:val="clear" w:color="auto" w:fill="FFFFFF"/>
          <w:lang w:val="zh-CN"/>
        </w:rPr>
        <w:t>所有指标都基本达到了预期的效果，所有项目经费都实现了价值的最大化。</w:t>
      </w:r>
    </w:p>
    <w:p w14:paraId="1C3C4A1D">
      <w:pPr>
        <w:keepNext w:val="0"/>
        <w:keepLines w:val="0"/>
        <w:pageBreakBefore w:val="0"/>
        <w:widowControl w:val="0"/>
        <w:kinsoku/>
        <w:wordWrap/>
        <w:overflowPunct/>
        <w:topLinePunct w:val="0"/>
        <w:autoSpaceDE/>
        <w:autoSpaceDN/>
        <w:bidi w:val="0"/>
        <w:spacing w:line="578" w:lineRule="exact"/>
        <w:ind w:firstLine="640"/>
        <w:textAlignment w:val="auto"/>
        <w:outlineLvl w:val="9"/>
        <w:rPr>
          <w:rFonts w:hint="eastAsia" w:ascii="Times New Roman" w:hAnsi="Times New Roman" w:eastAsia="仿宋_GB2312" w:cs="仿宋_GB2312"/>
          <w:b w:val="0"/>
          <w:bCs w:val="0"/>
          <w:color w:val="auto"/>
          <w:kern w:val="0"/>
          <w:position w:val="0"/>
          <w:sz w:val="32"/>
          <w:szCs w:val="32"/>
          <w:highlight w:val="none"/>
          <w:lang w:val="zh-CN" w:eastAsia="zh-CN" w:bidi="ar-SA"/>
        </w:rPr>
      </w:pPr>
      <w:r>
        <w:rPr>
          <w:rFonts w:hint="eastAsia" w:ascii="Times New Roman" w:hAnsi="Times New Roman" w:eastAsia="楷体_GB2312" w:cs="Times New Roman"/>
          <w:b/>
          <w:color w:val="auto"/>
          <w:sz w:val="32"/>
          <w:szCs w:val="32"/>
          <w:highlight w:val="none"/>
          <w:u w:val="none"/>
          <w:lang w:val="zh-CN"/>
        </w:rPr>
        <w:t>（二）</w:t>
      </w:r>
      <w:r>
        <w:rPr>
          <w:rFonts w:hint="eastAsia" w:ascii="Times New Roman" w:hAnsi="Times New Roman" w:eastAsia="楷体_GB2312" w:cs="Times New Roman"/>
          <w:b/>
          <w:color w:val="auto"/>
          <w:sz w:val="32"/>
          <w:szCs w:val="32"/>
          <w:highlight w:val="none"/>
          <w:u w:val="none"/>
          <w:lang w:val="en-US" w:eastAsia="zh-CN"/>
        </w:rPr>
        <w:t>专用指标</w:t>
      </w:r>
      <w:r>
        <w:rPr>
          <w:rFonts w:hint="default" w:ascii="Times New Roman" w:hAnsi="Times New Roman" w:eastAsia="楷体_GB2312" w:cs="Times New Roman"/>
          <w:b/>
          <w:bCs/>
          <w:color w:val="auto"/>
          <w:kern w:val="0"/>
          <w:sz w:val="32"/>
          <w:szCs w:val="32"/>
          <w:highlight w:val="none"/>
          <w:shd w:val="clear" w:color="auto" w:fill="FFFFFF"/>
          <w:lang w:val="zh-CN"/>
        </w:rPr>
        <w:t>绩效分析。</w:t>
      </w:r>
      <w:r>
        <w:rPr>
          <w:rFonts w:hint="eastAsia" w:ascii="Times New Roman" w:hAnsi="Times New Roman" w:eastAsia="仿宋_GB2312" w:cs="仿宋_GB2312"/>
          <w:b w:val="0"/>
          <w:bCs w:val="0"/>
          <w:color w:val="auto"/>
          <w:kern w:val="0"/>
          <w:position w:val="0"/>
          <w:sz w:val="32"/>
          <w:szCs w:val="32"/>
          <w:highlight w:val="none"/>
          <w:lang w:val="zh-CN" w:eastAsia="zh-CN" w:bidi="ar-SA"/>
        </w:rPr>
        <w:t>根据</w:t>
      </w:r>
      <w:r>
        <w:rPr>
          <w:rFonts w:hint="eastAsia" w:ascii="Times New Roman" w:hAnsi="Times New Roman" w:eastAsia="仿宋_GB2312" w:cs="仿宋_GB2312"/>
          <w:b w:val="0"/>
          <w:bCs w:val="0"/>
          <w:color w:val="auto"/>
          <w:kern w:val="0"/>
          <w:position w:val="0"/>
          <w:sz w:val="32"/>
          <w:szCs w:val="32"/>
          <w:highlight w:val="none"/>
          <w:lang w:val="en-US" w:eastAsia="zh-CN" w:bidi="ar-SA"/>
        </w:rPr>
        <w:t>专项预算项目资金支持对象选择所属指标进行绩效分析。支持对象</w:t>
      </w:r>
      <w:r>
        <w:rPr>
          <w:rFonts w:hint="eastAsia" w:ascii="Times New Roman" w:hAnsi="Times New Roman" w:eastAsia="仿宋_GB2312" w:cs="仿宋_GB2312"/>
          <w:b w:val="0"/>
          <w:bCs w:val="0"/>
          <w:color w:val="auto"/>
          <w:kern w:val="0"/>
          <w:position w:val="0"/>
          <w:sz w:val="32"/>
          <w:szCs w:val="32"/>
          <w:highlight w:val="none"/>
          <w:lang w:val="zh-CN" w:eastAsia="zh-CN" w:bidi="ar-SA"/>
        </w:rPr>
        <w:t>包括产业发展、民生保障、基础设施、行政运转等方面。</w:t>
      </w:r>
    </w:p>
    <w:p w14:paraId="7EF287B8">
      <w:pPr>
        <w:keepNext w:val="0"/>
        <w:keepLines w:val="0"/>
        <w:pageBreakBefore w:val="0"/>
        <w:widowControl w:val="0"/>
        <w:kinsoku/>
        <w:wordWrap/>
        <w:overflowPunct/>
        <w:topLinePunct w:val="0"/>
        <w:autoSpaceDE/>
        <w:autoSpaceDN/>
        <w:bidi w:val="0"/>
        <w:spacing w:line="578" w:lineRule="exact"/>
        <w:ind w:firstLine="640"/>
        <w:textAlignment w:val="auto"/>
        <w:outlineLvl w:val="9"/>
        <w:rPr>
          <w:rFonts w:hint="eastAsia" w:ascii="Times New Roman" w:hAnsi="Times New Roman" w:eastAsia="仿宋_GB2312" w:cs="仿宋_GB2312"/>
          <w:b w:val="0"/>
          <w:bCs w:val="0"/>
          <w:color w:val="auto"/>
          <w:kern w:val="0"/>
          <w:position w:val="0"/>
          <w:sz w:val="32"/>
          <w:szCs w:val="32"/>
          <w:highlight w:val="none"/>
          <w:lang w:val="en-US" w:eastAsia="zh-CN" w:bidi="ar-SA"/>
        </w:rPr>
      </w:pPr>
      <w:r>
        <w:rPr>
          <w:rFonts w:hint="eastAsia" w:ascii="Times New Roman" w:hAnsi="Times New Roman" w:eastAsia="仿宋_GB2312" w:cs="仿宋_GB2312"/>
          <w:b w:val="0"/>
          <w:bCs w:val="0"/>
          <w:color w:val="auto"/>
          <w:kern w:val="0"/>
          <w:position w:val="0"/>
          <w:sz w:val="32"/>
          <w:szCs w:val="32"/>
          <w:highlight w:val="none"/>
          <w:lang w:val="en-US" w:eastAsia="zh-CN" w:bidi="ar-SA"/>
        </w:rPr>
        <w:t>1.产业发展。围绕符合性、成长性、经济性进行绩效分析。</w:t>
      </w:r>
    </w:p>
    <w:p w14:paraId="76D97252">
      <w:pPr>
        <w:keepNext w:val="0"/>
        <w:keepLines w:val="0"/>
        <w:pageBreakBefore w:val="0"/>
        <w:widowControl w:val="0"/>
        <w:kinsoku/>
        <w:wordWrap/>
        <w:overflowPunct/>
        <w:topLinePunct w:val="0"/>
        <w:autoSpaceDE/>
        <w:autoSpaceDN/>
        <w:bidi w:val="0"/>
        <w:spacing w:line="578" w:lineRule="exact"/>
        <w:ind w:firstLine="640"/>
        <w:textAlignment w:val="auto"/>
        <w:outlineLvl w:val="9"/>
        <w:rPr>
          <w:rFonts w:hint="eastAsia" w:ascii="Times New Roman" w:hAnsi="Times New Roman" w:eastAsia="仿宋_GB2312" w:cs="仿宋_GB2312"/>
          <w:b w:val="0"/>
          <w:bCs w:val="0"/>
          <w:color w:val="auto"/>
          <w:kern w:val="0"/>
          <w:position w:val="0"/>
          <w:sz w:val="32"/>
          <w:szCs w:val="32"/>
          <w:highlight w:val="none"/>
          <w:lang w:val="en-US" w:eastAsia="zh-CN" w:bidi="ar-SA"/>
        </w:rPr>
      </w:pPr>
      <w:r>
        <w:rPr>
          <w:rFonts w:hint="eastAsia" w:ascii="Times New Roman" w:hAnsi="Times New Roman" w:eastAsia="仿宋_GB2312" w:cs="仿宋_GB2312"/>
          <w:b w:val="0"/>
          <w:bCs w:val="0"/>
          <w:color w:val="auto"/>
          <w:kern w:val="0"/>
          <w:position w:val="0"/>
          <w:sz w:val="32"/>
          <w:szCs w:val="32"/>
          <w:highlight w:val="none"/>
          <w:lang w:val="en-US" w:eastAsia="zh-CN" w:bidi="ar-SA"/>
        </w:rPr>
        <w:t>2.</w:t>
      </w:r>
      <w:r>
        <w:rPr>
          <w:rFonts w:hint="eastAsia" w:ascii="Times New Roman" w:hAnsi="Times New Roman" w:eastAsia="仿宋_GB2312" w:cs="仿宋_GB2312"/>
          <w:b w:val="0"/>
          <w:bCs w:val="0"/>
          <w:color w:val="auto"/>
          <w:kern w:val="0"/>
          <w:position w:val="0"/>
          <w:sz w:val="32"/>
          <w:szCs w:val="32"/>
          <w:highlight w:val="none"/>
          <w:lang w:val="zh-CN" w:eastAsia="zh-CN" w:bidi="ar-SA"/>
        </w:rPr>
        <w:t>民生保障。</w:t>
      </w:r>
      <w:r>
        <w:rPr>
          <w:rFonts w:hint="eastAsia" w:ascii="Times New Roman" w:hAnsi="Times New Roman" w:eastAsia="仿宋_GB2312" w:cs="仿宋_GB2312"/>
          <w:b w:val="0"/>
          <w:bCs w:val="0"/>
          <w:color w:val="auto"/>
          <w:kern w:val="0"/>
          <w:position w:val="0"/>
          <w:sz w:val="32"/>
          <w:szCs w:val="32"/>
          <w:highlight w:val="none"/>
          <w:lang w:val="en-US" w:eastAsia="zh-CN" w:bidi="ar-SA"/>
        </w:rPr>
        <w:t>围绕区域均衡性、对象精准性、标准合理性、群众满意度进行绩效分析。</w:t>
      </w:r>
    </w:p>
    <w:p w14:paraId="4325070A">
      <w:pPr>
        <w:keepNext w:val="0"/>
        <w:keepLines w:val="0"/>
        <w:pageBreakBefore w:val="0"/>
        <w:widowControl w:val="0"/>
        <w:kinsoku/>
        <w:wordWrap/>
        <w:overflowPunct/>
        <w:topLinePunct w:val="0"/>
        <w:autoSpaceDE/>
        <w:autoSpaceDN/>
        <w:bidi w:val="0"/>
        <w:spacing w:line="578" w:lineRule="exact"/>
        <w:ind w:firstLine="640"/>
        <w:textAlignment w:val="auto"/>
        <w:outlineLvl w:val="9"/>
        <w:rPr>
          <w:rFonts w:hint="eastAsia" w:ascii="Times New Roman" w:hAnsi="Times New Roman" w:eastAsia="仿宋_GB2312" w:cs="仿宋_GB2312"/>
          <w:b w:val="0"/>
          <w:bCs w:val="0"/>
          <w:color w:val="auto"/>
          <w:kern w:val="0"/>
          <w:position w:val="0"/>
          <w:sz w:val="32"/>
          <w:szCs w:val="32"/>
          <w:highlight w:val="none"/>
          <w:lang w:val="en-US" w:eastAsia="zh-CN" w:bidi="ar-SA"/>
        </w:rPr>
      </w:pPr>
      <w:r>
        <w:rPr>
          <w:rFonts w:hint="eastAsia" w:ascii="Times New Roman" w:hAnsi="Times New Roman" w:eastAsia="仿宋_GB2312" w:cs="仿宋_GB2312"/>
          <w:b w:val="0"/>
          <w:bCs w:val="0"/>
          <w:color w:val="auto"/>
          <w:kern w:val="0"/>
          <w:position w:val="0"/>
          <w:sz w:val="32"/>
          <w:szCs w:val="32"/>
          <w:highlight w:val="none"/>
          <w:lang w:val="en-US" w:eastAsia="zh-CN" w:bidi="ar-SA"/>
        </w:rPr>
        <w:t>3.基础设施。在建项目围绕工程进度和资金拨付进行绩效分析；建成项目围绕项目验收、功能实现、后续管护进行</w:t>
      </w:r>
      <w:r>
        <w:rPr>
          <w:rFonts w:hint="eastAsia" w:ascii="Times New Roman" w:hAnsi="Times New Roman" w:eastAsia="仿宋_GB2312" w:cs="仿宋_GB2312"/>
          <w:b w:val="0"/>
          <w:bCs w:val="0"/>
          <w:color w:val="auto"/>
          <w:kern w:val="0"/>
          <w:position w:val="0"/>
          <w:sz w:val="32"/>
          <w:szCs w:val="32"/>
          <w:highlight w:val="none"/>
          <w:lang w:val="zh-CN" w:eastAsia="zh-CN" w:bidi="ar-SA"/>
        </w:rPr>
        <w:t>绩效分析。</w:t>
      </w:r>
    </w:p>
    <w:p w14:paraId="7E120F01">
      <w:pPr>
        <w:keepNext w:val="0"/>
        <w:keepLines w:val="0"/>
        <w:pageBreakBefore w:val="0"/>
        <w:widowControl w:val="0"/>
        <w:kinsoku/>
        <w:wordWrap/>
        <w:overflowPunct/>
        <w:topLinePunct w:val="0"/>
        <w:autoSpaceDE/>
        <w:autoSpaceDN/>
        <w:bidi w:val="0"/>
        <w:spacing w:line="578" w:lineRule="exact"/>
        <w:ind w:firstLine="640"/>
        <w:textAlignment w:val="auto"/>
        <w:outlineLvl w:val="9"/>
        <w:rPr>
          <w:rFonts w:hint="eastAsia" w:ascii="Times New Roman" w:hAnsi="Times New Roman" w:eastAsia="仿宋_GB2312" w:cs="仿宋_GB2312"/>
          <w:b w:val="0"/>
          <w:bCs w:val="0"/>
          <w:color w:val="auto"/>
          <w:kern w:val="0"/>
          <w:position w:val="0"/>
          <w:sz w:val="32"/>
          <w:szCs w:val="32"/>
          <w:highlight w:val="none"/>
          <w:lang w:val="en-US" w:eastAsia="zh-CN" w:bidi="ar-SA"/>
        </w:rPr>
      </w:pPr>
      <w:r>
        <w:rPr>
          <w:rFonts w:hint="eastAsia" w:ascii="Times New Roman" w:hAnsi="Times New Roman" w:eastAsia="仿宋_GB2312" w:cs="仿宋_GB2312"/>
          <w:b w:val="0"/>
          <w:bCs w:val="0"/>
          <w:color w:val="auto"/>
          <w:kern w:val="0"/>
          <w:position w:val="0"/>
          <w:sz w:val="32"/>
          <w:szCs w:val="32"/>
          <w:highlight w:val="none"/>
          <w:lang w:val="en-US" w:eastAsia="zh-CN" w:bidi="ar-SA"/>
        </w:rPr>
        <w:t>4.</w:t>
      </w:r>
      <w:r>
        <w:rPr>
          <w:rFonts w:hint="eastAsia" w:ascii="Times New Roman" w:hAnsi="Times New Roman" w:eastAsia="仿宋_GB2312" w:cs="仿宋_GB2312"/>
          <w:b w:val="0"/>
          <w:bCs w:val="0"/>
          <w:color w:val="auto"/>
          <w:kern w:val="0"/>
          <w:position w:val="0"/>
          <w:sz w:val="32"/>
          <w:szCs w:val="32"/>
          <w:highlight w:val="none"/>
          <w:lang w:val="zh-CN" w:eastAsia="zh-CN" w:bidi="ar-SA"/>
        </w:rPr>
        <w:t>行政运转。围绕用途合规性、程序合规性、标准合规性进行绩效分析。</w:t>
      </w:r>
    </w:p>
    <w:p w14:paraId="1893BDFB">
      <w:pPr>
        <w:keepNext w:val="0"/>
        <w:keepLines w:val="0"/>
        <w:pageBreakBefore w:val="0"/>
        <w:widowControl w:val="0"/>
        <w:kinsoku/>
        <w:wordWrap/>
        <w:overflowPunct/>
        <w:topLinePunct w:val="0"/>
        <w:autoSpaceDE/>
        <w:autoSpaceDN/>
        <w:bidi w:val="0"/>
        <w:adjustRightInd/>
        <w:snapToGrid/>
        <w:spacing w:line="578" w:lineRule="exact"/>
        <w:ind w:firstLine="640"/>
        <w:textAlignment w:val="auto"/>
        <w:outlineLvl w:val="9"/>
        <w:rPr>
          <w:rFonts w:hint="eastAsia" w:ascii="Times New Roman" w:hAnsi="Times New Roman" w:eastAsia="仿宋_GB2312" w:cs="仿宋_GB2312"/>
          <w:b w:val="0"/>
          <w:bCs w:val="0"/>
          <w:color w:val="auto"/>
          <w:kern w:val="0"/>
          <w:position w:val="0"/>
          <w:sz w:val="32"/>
          <w:szCs w:val="32"/>
          <w:highlight w:val="none"/>
          <w:lang w:val="en-US" w:eastAsia="zh-CN" w:bidi="ar-SA"/>
        </w:rPr>
      </w:pPr>
      <w:r>
        <w:rPr>
          <w:rFonts w:hint="eastAsia" w:ascii="Times New Roman" w:hAnsi="Times New Roman" w:eastAsia="楷体_GB2312" w:cs="Times New Roman"/>
          <w:b/>
          <w:color w:val="auto"/>
          <w:sz w:val="32"/>
          <w:szCs w:val="32"/>
          <w:highlight w:val="none"/>
          <w:u w:val="none"/>
          <w:lang w:val="zh-CN"/>
        </w:rPr>
        <w:t>（三）</w:t>
      </w:r>
      <w:r>
        <w:rPr>
          <w:rFonts w:hint="eastAsia" w:ascii="Times New Roman" w:hAnsi="Times New Roman" w:eastAsia="楷体_GB2312" w:cs="Times New Roman"/>
          <w:b/>
          <w:color w:val="auto"/>
          <w:sz w:val="32"/>
          <w:szCs w:val="32"/>
          <w:highlight w:val="none"/>
          <w:u w:val="none"/>
          <w:lang w:val="en-US" w:eastAsia="zh-CN"/>
        </w:rPr>
        <w:t>个性指标</w:t>
      </w:r>
      <w:r>
        <w:rPr>
          <w:rFonts w:hint="default" w:ascii="Times New Roman" w:hAnsi="Times New Roman" w:eastAsia="楷体_GB2312" w:cs="Times New Roman"/>
          <w:b/>
          <w:bCs/>
          <w:color w:val="auto"/>
          <w:kern w:val="0"/>
          <w:sz w:val="32"/>
          <w:szCs w:val="32"/>
          <w:highlight w:val="none"/>
          <w:shd w:val="clear" w:color="auto" w:fill="FFFFFF"/>
          <w:lang w:val="zh-CN"/>
        </w:rPr>
        <w:t>绩效分析。</w:t>
      </w:r>
      <w:r>
        <w:rPr>
          <w:rFonts w:hint="eastAsia" w:ascii="Times New Roman" w:hAnsi="Times New Roman" w:eastAsia="仿宋_GB2312" w:cs="仿宋_GB2312"/>
          <w:b w:val="0"/>
          <w:bCs w:val="0"/>
          <w:color w:val="auto"/>
          <w:kern w:val="0"/>
          <w:position w:val="0"/>
          <w:sz w:val="32"/>
          <w:szCs w:val="32"/>
          <w:highlight w:val="none"/>
          <w:lang w:val="zh-CN" w:eastAsia="zh-CN" w:bidi="ar-SA"/>
        </w:rPr>
        <w:t>根据项目个性自行设定部分指标，反映该项指标执行完成情况。</w:t>
      </w:r>
    </w:p>
    <w:p w14:paraId="293CE1A8">
      <w:pPr>
        <w:keepNext w:val="0"/>
        <w:keepLines w:val="0"/>
        <w:pageBreakBefore w:val="0"/>
        <w:widowControl w:val="0"/>
        <w:kinsoku/>
        <w:wordWrap/>
        <w:overflowPunct/>
        <w:topLinePunct w:val="0"/>
        <w:autoSpaceDE/>
        <w:autoSpaceDN/>
        <w:bidi w:val="0"/>
        <w:spacing w:line="578" w:lineRule="exact"/>
        <w:ind w:firstLine="640"/>
        <w:textAlignment w:val="auto"/>
        <w:outlineLvl w:val="9"/>
        <w:rPr>
          <w:rFonts w:hint="eastAsia" w:ascii="黑体" w:hAnsi="黑体" w:eastAsia="黑体" w:cs="黑体"/>
          <w:b w:val="0"/>
          <w:bCs w:val="0"/>
          <w:color w:val="auto"/>
          <w:kern w:val="0"/>
          <w:position w:val="0"/>
          <w:sz w:val="32"/>
          <w:szCs w:val="32"/>
          <w:highlight w:val="none"/>
          <w:lang w:val="en-US" w:eastAsia="zh-CN" w:bidi="ar-SA"/>
        </w:rPr>
      </w:pPr>
      <w:r>
        <w:rPr>
          <w:rFonts w:hint="eastAsia" w:ascii="黑体" w:hAnsi="黑体" w:eastAsia="黑体" w:cs="黑体"/>
          <w:b w:val="0"/>
          <w:bCs w:val="0"/>
          <w:color w:val="auto"/>
          <w:kern w:val="0"/>
          <w:position w:val="0"/>
          <w:sz w:val="32"/>
          <w:szCs w:val="32"/>
          <w:highlight w:val="none"/>
          <w:lang w:val="en-US" w:eastAsia="zh-CN" w:bidi="ar-SA"/>
        </w:rPr>
        <w:t>四、评价结论</w:t>
      </w:r>
    </w:p>
    <w:p w14:paraId="3584383C">
      <w:pPr>
        <w:widowControl/>
        <w:adjustRightInd w:val="0"/>
        <w:snapToGrid w:val="0"/>
        <w:spacing w:line="580" w:lineRule="exact"/>
        <w:ind w:firstLine="640" w:firstLineChars="200"/>
        <w:contextualSpacing/>
        <w:jc w:val="left"/>
        <w:rPr>
          <w:rFonts w:hint="eastAsia" w:ascii="仿宋" w:hAnsi="仿宋" w:eastAsia="仿宋" w:cs="仿宋"/>
          <w:color w:val="auto"/>
          <w:kern w:val="0"/>
          <w:sz w:val="32"/>
          <w:szCs w:val="32"/>
          <w:shd w:val="clear" w:color="auto" w:fill="FFFFFF"/>
          <w:lang w:val="zh-CN"/>
        </w:rPr>
      </w:pPr>
      <w:r>
        <w:rPr>
          <w:rFonts w:hint="eastAsia" w:ascii="仿宋" w:hAnsi="仿宋" w:eastAsia="仿宋" w:cs="仿宋"/>
          <w:color w:val="auto"/>
          <w:kern w:val="0"/>
          <w:sz w:val="32"/>
          <w:szCs w:val="32"/>
          <w:shd w:val="clear" w:color="auto" w:fill="FFFFFF"/>
          <w:lang w:val="zh-CN"/>
        </w:rPr>
        <w:t>根据考核评分细则，我单位严格按照国家的相关财务管理制度规定，财务制度健全、会计核算规范，依照计划管理使用。按照单位整体支出绩效评价指标体系对照打分得出结果，分数为99分。</w:t>
      </w:r>
    </w:p>
    <w:p w14:paraId="08B27A43">
      <w:pPr>
        <w:keepNext w:val="0"/>
        <w:keepLines w:val="0"/>
        <w:pageBreakBefore w:val="0"/>
        <w:widowControl w:val="0"/>
        <w:kinsoku/>
        <w:wordWrap/>
        <w:overflowPunct/>
        <w:topLinePunct w:val="0"/>
        <w:autoSpaceDE/>
        <w:autoSpaceDN/>
        <w:bidi w:val="0"/>
        <w:spacing w:line="578" w:lineRule="exact"/>
        <w:ind w:firstLine="640"/>
        <w:textAlignment w:val="auto"/>
        <w:outlineLvl w:val="9"/>
        <w:rPr>
          <w:rFonts w:hint="eastAsia" w:ascii="黑体" w:hAnsi="黑体" w:eastAsia="黑体" w:cs="黑体"/>
          <w:b w:val="0"/>
          <w:bCs w:val="0"/>
          <w:color w:val="auto"/>
          <w:kern w:val="0"/>
          <w:position w:val="0"/>
          <w:sz w:val="32"/>
          <w:szCs w:val="32"/>
          <w:highlight w:val="none"/>
          <w:lang w:val="en-US" w:eastAsia="zh-CN" w:bidi="ar-SA"/>
        </w:rPr>
      </w:pPr>
      <w:r>
        <w:rPr>
          <w:rFonts w:hint="eastAsia" w:ascii="黑体" w:hAnsi="黑体" w:eastAsia="黑体" w:cs="黑体"/>
          <w:b w:val="0"/>
          <w:bCs w:val="0"/>
          <w:color w:val="auto"/>
          <w:kern w:val="0"/>
          <w:position w:val="0"/>
          <w:sz w:val="32"/>
          <w:szCs w:val="32"/>
          <w:highlight w:val="none"/>
          <w:lang w:val="en-US" w:eastAsia="zh-CN" w:bidi="ar-SA"/>
        </w:rPr>
        <w:t>五、存在主要问题</w:t>
      </w:r>
    </w:p>
    <w:p w14:paraId="18E65994">
      <w:pPr>
        <w:keepNext w:val="0"/>
        <w:keepLines w:val="0"/>
        <w:pageBreakBefore w:val="0"/>
        <w:widowControl/>
        <w:numPr>
          <w:ilvl w:val="0"/>
          <w:numId w:val="0"/>
        </w:numPr>
        <w:kinsoku/>
        <w:wordWrap/>
        <w:overflowPunct/>
        <w:topLinePunct w:val="0"/>
        <w:autoSpaceDE/>
        <w:autoSpaceDN/>
        <w:bidi w:val="0"/>
        <w:adjustRightInd w:val="0"/>
        <w:snapToGrid w:val="0"/>
        <w:spacing w:line="580" w:lineRule="exact"/>
        <w:ind w:firstLine="640" w:firstLineChars="200"/>
        <w:contextualSpacing/>
        <w:jc w:val="left"/>
        <w:textAlignment w:val="auto"/>
        <w:rPr>
          <w:rFonts w:hint="eastAsia" w:ascii="仿宋" w:hAnsi="仿宋" w:eastAsia="仿宋" w:cs="仿宋"/>
          <w:color w:val="auto"/>
          <w:kern w:val="0"/>
          <w:sz w:val="32"/>
          <w:szCs w:val="32"/>
          <w:shd w:val="clear" w:color="auto" w:fill="FFFFFF"/>
          <w:lang w:val="zh-CN"/>
        </w:rPr>
      </w:pPr>
      <w:r>
        <w:rPr>
          <w:rFonts w:hint="eastAsia" w:ascii="仿宋" w:hAnsi="仿宋" w:eastAsia="仿宋" w:cs="仿宋"/>
          <w:color w:val="auto"/>
          <w:kern w:val="0"/>
          <w:sz w:val="32"/>
          <w:szCs w:val="32"/>
          <w:shd w:val="clear" w:color="auto" w:fill="FFFFFF"/>
          <w:lang w:val="zh-CN"/>
        </w:rPr>
        <w:t>1.《粮食流通管理条例》宣传力度不够，群众特别是个别粮食经营户对粮油行政执法工作不理解。</w:t>
      </w:r>
    </w:p>
    <w:p w14:paraId="17B00F95">
      <w:pPr>
        <w:keepNext w:val="0"/>
        <w:keepLines w:val="0"/>
        <w:pageBreakBefore w:val="0"/>
        <w:widowControl/>
        <w:numPr>
          <w:ilvl w:val="0"/>
          <w:numId w:val="0"/>
        </w:numPr>
        <w:kinsoku/>
        <w:wordWrap/>
        <w:overflowPunct/>
        <w:topLinePunct w:val="0"/>
        <w:autoSpaceDE/>
        <w:autoSpaceDN/>
        <w:bidi w:val="0"/>
        <w:adjustRightInd w:val="0"/>
        <w:snapToGrid w:val="0"/>
        <w:spacing w:line="580" w:lineRule="exact"/>
        <w:ind w:firstLine="640" w:firstLineChars="200"/>
        <w:contextualSpacing/>
        <w:jc w:val="left"/>
        <w:textAlignment w:val="auto"/>
        <w:rPr>
          <w:rFonts w:hint="eastAsia" w:ascii="楷体_GB2312" w:hAnsi="宋体" w:eastAsia="楷体_GB2312" w:cs="宋体"/>
          <w:color w:val="auto"/>
          <w:kern w:val="0"/>
          <w:szCs w:val="32"/>
          <w:shd w:val="clear" w:color="auto" w:fill="FFFFFF"/>
          <w:lang w:val="zh-CN"/>
        </w:rPr>
      </w:pPr>
      <w:r>
        <w:rPr>
          <w:rFonts w:hint="eastAsia" w:ascii="仿宋" w:hAnsi="仿宋" w:eastAsia="仿宋" w:cs="仿宋"/>
          <w:color w:val="auto"/>
          <w:kern w:val="0"/>
          <w:sz w:val="32"/>
          <w:szCs w:val="32"/>
          <w:shd w:val="clear" w:color="auto" w:fill="FFFFFF"/>
          <w:lang w:val="zh-CN"/>
        </w:rPr>
        <w:t>2.工作开展情况记录不完整。</w:t>
      </w:r>
    </w:p>
    <w:p w14:paraId="6E1DD4B8">
      <w:pPr>
        <w:keepNext w:val="0"/>
        <w:keepLines w:val="0"/>
        <w:pageBreakBefore w:val="0"/>
        <w:widowControl w:val="0"/>
        <w:kinsoku/>
        <w:wordWrap/>
        <w:overflowPunct/>
        <w:topLinePunct w:val="0"/>
        <w:autoSpaceDE/>
        <w:autoSpaceDN/>
        <w:bidi w:val="0"/>
        <w:spacing w:line="578" w:lineRule="exact"/>
        <w:ind w:firstLine="640"/>
        <w:textAlignment w:val="auto"/>
        <w:outlineLvl w:val="9"/>
        <w:rPr>
          <w:rFonts w:hint="eastAsia" w:ascii="黑体" w:hAnsi="黑体" w:eastAsia="黑体" w:cs="黑体"/>
          <w:b w:val="0"/>
          <w:bCs w:val="0"/>
          <w:color w:val="auto"/>
          <w:kern w:val="0"/>
          <w:position w:val="0"/>
          <w:sz w:val="32"/>
          <w:szCs w:val="32"/>
          <w:highlight w:val="none"/>
          <w:lang w:val="zh-CN" w:eastAsia="zh-CN" w:bidi="ar-SA"/>
        </w:rPr>
      </w:pPr>
      <w:r>
        <w:rPr>
          <w:rFonts w:hint="eastAsia" w:ascii="黑体" w:hAnsi="黑体" w:eastAsia="黑体" w:cs="黑体"/>
          <w:b w:val="0"/>
          <w:bCs w:val="0"/>
          <w:color w:val="auto"/>
          <w:kern w:val="0"/>
          <w:position w:val="0"/>
          <w:sz w:val="32"/>
          <w:szCs w:val="32"/>
          <w:highlight w:val="none"/>
          <w:lang w:val="zh-CN" w:eastAsia="zh-CN" w:bidi="ar-SA"/>
        </w:rPr>
        <w:t>六、改进建议</w:t>
      </w:r>
    </w:p>
    <w:p w14:paraId="1AB228C0">
      <w:pPr>
        <w:widowControl/>
        <w:adjustRightInd w:val="0"/>
        <w:snapToGrid w:val="0"/>
        <w:spacing w:line="580" w:lineRule="exact"/>
        <w:ind w:firstLine="640" w:firstLineChars="200"/>
        <w:contextualSpacing/>
        <w:jc w:val="left"/>
        <w:rPr>
          <w:rFonts w:hint="eastAsia" w:ascii="仿宋" w:hAnsi="仿宋" w:eastAsia="仿宋" w:cs="仿宋"/>
          <w:color w:val="auto"/>
          <w:kern w:val="0"/>
          <w:sz w:val="32"/>
          <w:szCs w:val="32"/>
          <w:shd w:val="clear" w:color="auto" w:fill="FFFFFF"/>
          <w:lang w:val="zh-CN"/>
        </w:rPr>
      </w:pPr>
      <w:r>
        <w:rPr>
          <w:rFonts w:hint="eastAsia" w:ascii="仿宋" w:hAnsi="仿宋" w:eastAsia="仿宋" w:cs="仿宋"/>
          <w:color w:val="auto"/>
          <w:kern w:val="0"/>
          <w:sz w:val="32"/>
          <w:szCs w:val="32"/>
          <w:shd w:val="clear" w:color="auto" w:fill="FFFFFF"/>
          <w:lang w:val="zh-CN"/>
        </w:rPr>
        <w:t>1.年初预算时，加强单位与财政的沟通，继续执行预算三上三下程序，既厉行节约，又保证必需。</w:t>
      </w:r>
    </w:p>
    <w:p w14:paraId="73D256BC">
      <w:pPr>
        <w:widowControl/>
        <w:adjustRightInd w:val="0"/>
        <w:snapToGrid w:val="0"/>
        <w:spacing w:line="580" w:lineRule="exact"/>
        <w:ind w:firstLine="640" w:firstLineChars="200"/>
        <w:contextualSpacing/>
        <w:jc w:val="left"/>
        <w:rPr>
          <w:rFonts w:hint="eastAsia" w:ascii="仿宋" w:hAnsi="仿宋" w:eastAsia="仿宋" w:cs="仿宋"/>
          <w:color w:val="auto"/>
          <w:kern w:val="0"/>
          <w:sz w:val="32"/>
          <w:szCs w:val="32"/>
          <w:shd w:val="clear" w:color="auto" w:fill="FFFFFF"/>
          <w:lang w:val="zh-CN"/>
        </w:rPr>
      </w:pPr>
      <w:r>
        <w:rPr>
          <w:rFonts w:hint="eastAsia" w:ascii="仿宋" w:hAnsi="仿宋" w:eastAsia="仿宋" w:cs="仿宋"/>
          <w:color w:val="auto"/>
          <w:kern w:val="0"/>
          <w:sz w:val="32"/>
          <w:szCs w:val="32"/>
          <w:shd w:val="clear" w:color="auto" w:fill="FFFFFF"/>
          <w:lang w:val="zh-CN"/>
        </w:rPr>
        <w:t>2.继续完善单位内财政管理方面的制度，加强财务管理，充分发挥财政资金的经济效益和社会效益。</w:t>
      </w:r>
    </w:p>
    <w:p w14:paraId="77DF93C1">
      <w:pPr>
        <w:keepNext w:val="0"/>
        <w:keepLines w:val="0"/>
        <w:pageBreakBefore w:val="0"/>
        <w:widowControl w:val="0"/>
        <w:kinsoku/>
        <w:wordWrap/>
        <w:overflowPunct/>
        <w:topLinePunct w:val="0"/>
        <w:autoSpaceDE/>
        <w:autoSpaceDN/>
        <w:bidi w:val="0"/>
        <w:spacing w:line="578" w:lineRule="exact"/>
        <w:ind w:firstLine="640"/>
        <w:textAlignment w:val="auto"/>
        <w:outlineLvl w:val="9"/>
        <w:rPr>
          <w:rFonts w:hint="eastAsia" w:ascii="Times New Roman" w:hAnsi="Times New Roman" w:eastAsia="仿宋_GB2312" w:cs="仿宋_GB2312"/>
          <w:b w:val="0"/>
          <w:bCs w:val="0"/>
          <w:color w:val="auto"/>
          <w:kern w:val="0"/>
          <w:position w:val="0"/>
          <w:sz w:val="32"/>
          <w:szCs w:val="32"/>
          <w:highlight w:val="none"/>
          <w:lang w:val="en-US" w:eastAsia="zh-CN" w:bidi="ar-SA"/>
        </w:rPr>
      </w:pPr>
    </w:p>
    <w:p w14:paraId="495D3ED6">
      <w:pPr>
        <w:keepNext w:val="0"/>
        <w:keepLines w:val="0"/>
        <w:pageBreakBefore w:val="0"/>
        <w:widowControl w:val="0"/>
        <w:kinsoku/>
        <w:wordWrap/>
        <w:overflowPunct/>
        <w:topLinePunct w:val="0"/>
        <w:autoSpaceDE/>
        <w:autoSpaceDN/>
        <w:bidi w:val="0"/>
        <w:spacing w:line="578" w:lineRule="exact"/>
        <w:ind w:firstLine="640"/>
        <w:textAlignment w:val="auto"/>
        <w:outlineLvl w:val="9"/>
        <w:rPr>
          <w:rFonts w:hint="eastAsia" w:ascii="Times New Roman" w:hAnsi="Times New Roman" w:eastAsia="仿宋_GB2312" w:cs="仿宋_GB2312"/>
          <w:b w:val="0"/>
          <w:bCs w:val="0"/>
          <w:color w:val="auto"/>
          <w:kern w:val="0"/>
          <w:position w:val="0"/>
          <w:sz w:val="32"/>
          <w:szCs w:val="32"/>
          <w:highlight w:val="none"/>
          <w:lang w:val="en-US" w:eastAsia="zh-CN" w:bidi="ar-SA"/>
        </w:rPr>
      </w:pPr>
    </w:p>
    <w:p w14:paraId="533FA8E5">
      <w:pPr>
        <w:keepNext w:val="0"/>
        <w:keepLines w:val="0"/>
        <w:pageBreakBefore w:val="0"/>
        <w:widowControl w:val="0"/>
        <w:kinsoku/>
        <w:wordWrap/>
        <w:overflowPunct/>
        <w:topLinePunct w:val="0"/>
        <w:autoSpaceDE/>
        <w:autoSpaceDN/>
        <w:bidi w:val="0"/>
        <w:spacing w:line="578" w:lineRule="exact"/>
        <w:ind w:firstLine="640"/>
        <w:textAlignment w:val="auto"/>
        <w:outlineLvl w:val="9"/>
        <w:rPr>
          <w:rFonts w:hint="eastAsia" w:ascii="Times New Roman" w:hAnsi="Times New Roman" w:eastAsia="仿宋_GB2312" w:cs="仿宋_GB2312"/>
          <w:b w:val="0"/>
          <w:bCs w:val="0"/>
          <w:color w:val="auto"/>
          <w:kern w:val="0"/>
          <w:position w:val="0"/>
          <w:sz w:val="32"/>
          <w:szCs w:val="32"/>
          <w:highlight w:val="none"/>
          <w:lang w:val="en-US" w:eastAsia="zh-CN" w:bidi="ar-SA"/>
        </w:rPr>
      </w:pPr>
      <w:bookmarkStart w:id="54" w:name="_Toc15396618"/>
    </w:p>
    <w:p w14:paraId="77247AE0">
      <w:pPr>
        <w:widowControl/>
        <w:jc w:val="center"/>
        <w:rPr>
          <w:rFonts w:hint="eastAsia" w:ascii="Times New Roman" w:hAnsi="Times New Roman" w:eastAsia="黑体"/>
          <w:color w:val="auto"/>
          <w:sz w:val="44"/>
          <w:szCs w:val="44"/>
          <w:highlight w:val="none"/>
        </w:rPr>
      </w:pPr>
    </w:p>
    <w:p w14:paraId="0A84D7EE">
      <w:pPr>
        <w:widowControl/>
        <w:jc w:val="center"/>
        <w:rPr>
          <w:rFonts w:hint="eastAsia" w:ascii="Times New Roman" w:hAnsi="Times New Roman" w:eastAsia="仿宋"/>
          <w:b w:val="0"/>
          <w:color w:val="auto"/>
          <w:highlight w:val="none"/>
        </w:rPr>
      </w:pPr>
      <w:r>
        <w:rPr>
          <w:rFonts w:hint="eastAsia" w:ascii="Times New Roman" w:hAnsi="Times New Roman" w:eastAsia="黑体"/>
          <w:color w:val="auto"/>
          <w:sz w:val="44"/>
          <w:szCs w:val="44"/>
          <w:highlight w:val="none"/>
        </w:rPr>
        <w:t>第</w:t>
      </w:r>
      <w:r>
        <w:rPr>
          <w:rStyle w:val="30"/>
          <w:rFonts w:hint="eastAsia" w:ascii="Times New Roman" w:hAnsi="Times New Roman" w:eastAsia="黑体"/>
          <w:b w:val="0"/>
          <w:color w:val="auto"/>
          <w:highlight w:val="none"/>
        </w:rPr>
        <w:t>五部分 附表</w:t>
      </w:r>
      <w:bookmarkEnd w:id="52"/>
      <w:bookmarkEnd w:id="54"/>
      <w:bookmarkStart w:id="55" w:name="_Toc15396619"/>
    </w:p>
    <w:p w14:paraId="6BE1FE20">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p>
    <w:p w14:paraId="4E142603">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一、收入支出决算总表</w:t>
      </w:r>
      <w:bookmarkEnd w:id="55"/>
    </w:p>
    <w:p w14:paraId="6D118244">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bookmarkStart w:id="56" w:name="_Toc15396620"/>
      <w:r>
        <w:rPr>
          <w:rFonts w:hint="eastAsia" w:ascii="Times New Roman" w:hAnsi="Times New Roman" w:eastAsia="仿宋_GB2312" w:cs="仿宋_GB2312"/>
          <w:color w:val="auto"/>
          <w:sz w:val="32"/>
          <w:szCs w:val="32"/>
          <w:highlight w:val="none"/>
        </w:rPr>
        <w:t>二、收入决算表</w:t>
      </w:r>
      <w:bookmarkEnd w:id="56"/>
    </w:p>
    <w:p w14:paraId="0322FDB2">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bookmarkStart w:id="57" w:name="_Toc15396621"/>
      <w:r>
        <w:rPr>
          <w:rFonts w:hint="eastAsia" w:ascii="Times New Roman" w:hAnsi="Times New Roman" w:eastAsia="仿宋_GB2312" w:cs="仿宋_GB2312"/>
          <w:color w:val="auto"/>
          <w:sz w:val="32"/>
          <w:szCs w:val="32"/>
          <w:highlight w:val="none"/>
        </w:rPr>
        <w:t>三、支出决算表</w:t>
      </w:r>
      <w:bookmarkEnd w:id="57"/>
    </w:p>
    <w:p w14:paraId="02B71EB0">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bookmarkStart w:id="58" w:name="_Toc15396622"/>
      <w:r>
        <w:rPr>
          <w:rFonts w:hint="eastAsia" w:ascii="Times New Roman" w:hAnsi="Times New Roman" w:eastAsia="仿宋_GB2312" w:cs="仿宋_GB2312"/>
          <w:color w:val="auto"/>
          <w:sz w:val="32"/>
          <w:szCs w:val="32"/>
          <w:highlight w:val="none"/>
        </w:rPr>
        <w:t>四、财政拨款收入支出决算总表</w:t>
      </w:r>
      <w:bookmarkEnd w:id="58"/>
    </w:p>
    <w:p w14:paraId="304164B4">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bookmarkStart w:id="59" w:name="_Toc15396623"/>
      <w:r>
        <w:rPr>
          <w:rFonts w:hint="eastAsia" w:ascii="Times New Roman" w:hAnsi="Times New Roman" w:eastAsia="仿宋_GB2312" w:cs="仿宋_GB2312"/>
          <w:color w:val="auto"/>
          <w:sz w:val="32"/>
          <w:szCs w:val="32"/>
          <w:highlight w:val="none"/>
        </w:rPr>
        <w:t>五、财政拨款支出决算明细表</w:t>
      </w:r>
      <w:bookmarkEnd w:id="59"/>
      <w:bookmarkStart w:id="60" w:name="_Toc15396624"/>
    </w:p>
    <w:p w14:paraId="3CEFC893">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六、一般公共预算财政拨款支出决算表</w:t>
      </w:r>
      <w:bookmarkEnd w:id="60"/>
    </w:p>
    <w:p w14:paraId="0F535DA8">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bookmarkStart w:id="61" w:name="_Toc15396625"/>
      <w:r>
        <w:rPr>
          <w:rFonts w:hint="eastAsia" w:ascii="Times New Roman" w:hAnsi="Times New Roman" w:eastAsia="仿宋_GB2312" w:cs="仿宋_GB2312"/>
          <w:color w:val="auto"/>
          <w:sz w:val="32"/>
          <w:szCs w:val="32"/>
          <w:highlight w:val="none"/>
        </w:rPr>
        <w:t>七、一般公共预算财政拨款支出决算明细表</w:t>
      </w:r>
      <w:bookmarkEnd w:id="61"/>
    </w:p>
    <w:p w14:paraId="36E1226D">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bookmarkStart w:id="62" w:name="_Toc15396626"/>
      <w:r>
        <w:rPr>
          <w:rFonts w:hint="eastAsia" w:ascii="Times New Roman" w:hAnsi="Times New Roman" w:eastAsia="仿宋_GB2312" w:cs="仿宋_GB2312"/>
          <w:color w:val="auto"/>
          <w:sz w:val="32"/>
          <w:szCs w:val="32"/>
          <w:highlight w:val="none"/>
        </w:rPr>
        <w:t>八、一般公共预算财政拨款基本支出决算表</w:t>
      </w:r>
      <w:bookmarkEnd w:id="62"/>
    </w:p>
    <w:p w14:paraId="22EAF136">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bookmarkStart w:id="63" w:name="_Toc15396627"/>
      <w:r>
        <w:rPr>
          <w:rFonts w:hint="eastAsia" w:ascii="Times New Roman" w:hAnsi="Times New Roman" w:eastAsia="仿宋_GB2312" w:cs="仿宋_GB2312"/>
          <w:color w:val="auto"/>
          <w:sz w:val="32"/>
          <w:szCs w:val="32"/>
          <w:highlight w:val="none"/>
        </w:rPr>
        <w:t>九、一般公共预算财政拨款项目支出决算表</w:t>
      </w:r>
      <w:bookmarkEnd w:id="63"/>
    </w:p>
    <w:p w14:paraId="3DD9CD57">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bookmarkStart w:id="64" w:name="_Toc15396628"/>
      <w:r>
        <w:rPr>
          <w:rFonts w:hint="eastAsia" w:ascii="Times New Roman" w:hAnsi="Times New Roman" w:eastAsia="仿宋_GB2312" w:cs="仿宋_GB2312"/>
          <w:color w:val="auto"/>
          <w:sz w:val="32"/>
          <w:szCs w:val="32"/>
          <w:highlight w:val="none"/>
        </w:rPr>
        <w:t>十、</w:t>
      </w:r>
      <w:bookmarkEnd w:id="64"/>
      <w:r>
        <w:rPr>
          <w:rFonts w:hint="eastAsia" w:ascii="Times New Roman" w:hAnsi="Times New Roman" w:eastAsia="仿宋_GB2312" w:cs="仿宋_GB2312"/>
          <w:color w:val="auto"/>
          <w:sz w:val="32"/>
          <w:szCs w:val="32"/>
          <w:highlight w:val="none"/>
        </w:rPr>
        <w:t>政府性基金预算财政拨款收入支出决算表</w:t>
      </w:r>
    </w:p>
    <w:p w14:paraId="18F89026">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bookmarkStart w:id="65" w:name="_Toc15396629"/>
      <w:r>
        <w:rPr>
          <w:rFonts w:hint="eastAsia" w:ascii="Times New Roman" w:hAnsi="Times New Roman" w:eastAsia="仿宋_GB2312" w:cs="仿宋_GB2312"/>
          <w:color w:val="auto"/>
          <w:sz w:val="32"/>
          <w:szCs w:val="32"/>
          <w:highlight w:val="none"/>
        </w:rPr>
        <w:t>十一、</w:t>
      </w:r>
      <w:bookmarkEnd w:id="65"/>
      <w:r>
        <w:rPr>
          <w:rFonts w:hint="eastAsia" w:ascii="Times New Roman" w:hAnsi="Times New Roman" w:eastAsia="仿宋_GB2312" w:cs="仿宋_GB2312"/>
          <w:color w:val="auto"/>
          <w:sz w:val="32"/>
          <w:szCs w:val="32"/>
          <w:highlight w:val="none"/>
        </w:rPr>
        <w:t>国有资本经营预算</w:t>
      </w:r>
      <w:r>
        <w:rPr>
          <w:rFonts w:hint="eastAsia" w:ascii="Times New Roman" w:hAnsi="Times New Roman" w:eastAsia="仿宋_GB2312" w:cs="仿宋_GB2312"/>
          <w:color w:val="auto"/>
          <w:sz w:val="32"/>
          <w:szCs w:val="32"/>
          <w:highlight w:val="none"/>
          <w:lang w:eastAsia="zh-CN"/>
        </w:rPr>
        <w:t>财政拨款收入</w:t>
      </w:r>
      <w:r>
        <w:rPr>
          <w:rFonts w:hint="eastAsia" w:ascii="Times New Roman" w:hAnsi="Times New Roman" w:eastAsia="仿宋_GB2312" w:cs="仿宋_GB2312"/>
          <w:color w:val="auto"/>
          <w:sz w:val="32"/>
          <w:szCs w:val="32"/>
          <w:highlight w:val="none"/>
        </w:rPr>
        <w:t>支出决算表</w:t>
      </w:r>
    </w:p>
    <w:p w14:paraId="18D6BDE6">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bookmarkStart w:id="66" w:name="_Toc15396630"/>
      <w:r>
        <w:rPr>
          <w:rFonts w:hint="eastAsia" w:ascii="Times New Roman" w:hAnsi="Times New Roman" w:eastAsia="仿宋_GB2312" w:cs="仿宋_GB2312"/>
          <w:color w:val="auto"/>
          <w:sz w:val="32"/>
          <w:szCs w:val="32"/>
          <w:highlight w:val="none"/>
        </w:rPr>
        <w:t>十二、</w:t>
      </w:r>
      <w:bookmarkEnd w:id="66"/>
      <w:r>
        <w:rPr>
          <w:rFonts w:hint="eastAsia" w:ascii="Times New Roman" w:hAnsi="Times New Roman" w:eastAsia="仿宋_GB2312" w:cs="仿宋_GB2312"/>
          <w:color w:val="auto"/>
          <w:sz w:val="32"/>
          <w:szCs w:val="32"/>
          <w:highlight w:val="none"/>
          <w:lang w:eastAsia="zh-CN"/>
        </w:rPr>
        <w:t>国有资本经营预算财政拨款支出决算表</w:t>
      </w:r>
    </w:p>
    <w:p w14:paraId="30187A19">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lang w:eastAsia="zh-CN"/>
        </w:rPr>
      </w:pPr>
      <w:bookmarkStart w:id="67" w:name="_Toc15396631"/>
      <w:r>
        <w:rPr>
          <w:rFonts w:hint="eastAsia" w:ascii="Times New Roman" w:hAnsi="Times New Roman" w:eastAsia="仿宋_GB2312" w:cs="仿宋_GB2312"/>
          <w:color w:val="auto"/>
          <w:sz w:val="32"/>
          <w:szCs w:val="32"/>
          <w:highlight w:val="none"/>
        </w:rPr>
        <w:t>十三、</w:t>
      </w:r>
      <w:bookmarkEnd w:id="67"/>
      <w:r>
        <w:rPr>
          <w:rFonts w:hint="eastAsia" w:ascii="Times New Roman" w:hAnsi="Times New Roman" w:eastAsia="仿宋_GB2312" w:cs="仿宋_GB2312"/>
          <w:color w:val="auto"/>
          <w:sz w:val="32"/>
          <w:szCs w:val="32"/>
          <w:highlight w:val="none"/>
          <w:lang w:eastAsia="zh-CN"/>
        </w:rPr>
        <w:t>财政拨款“三公”经费支出决算表</w:t>
      </w:r>
    </w:p>
    <w:p w14:paraId="4B2E1D97">
      <w:pPr>
        <w:rPr>
          <w:rFonts w:hint="eastAsia" w:ascii="Times New Roman" w:hAnsi="Times New Roman"/>
          <w:color w:val="auto"/>
          <w:lang w:eastAsia="zh-CN"/>
        </w:rPr>
      </w:pPr>
    </w:p>
    <w:p w14:paraId="6CAA4C5A">
      <w:pPr>
        <w:rPr>
          <w:rFonts w:hint="eastAsia" w:ascii="Times New Roman" w:hAnsi="Times New Roman"/>
          <w:color w:val="auto"/>
          <w:lang w:eastAsia="zh-CN"/>
        </w:rPr>
      </w:pPr>
    </w:p>
    <w:p w14:paraId="32A7EEE3">
      <w:pPr>
        <w:rPr>
          <w:rFonts w:hint="eastAsia" w:ascii="Times New Roman" w:hAnsi="Times New Roman"/>
          <w:color w:val="auto"/>
          <w:lang w:eastAsia="zh-CN"/>
        </w:rPr>
      </w:pPr>
    </w:p>
    <w:p w14:paraId="06426377">
      <w:pPr>
        <w:rPr>
          <w:rFonts w:hint="eastAsia" w:ascii="Times New Roman" w:hAnsi="Times New Roman"/>
          <w:color w:val="auto"/>
          <w:lang w:eastAsia="zh-CN"/>
        </w:rPr>
      </w:pPr>
    </w:p>
    <w:p w14:paraId="0257ED47">
      <w:pPr>
        <w:rPr>
          <w:rFonts w:hint="eastAsia" w:ascii="Times New Roman" w:hAnsi="Times New Roman"/>
          <w:color w:val="auto"/>
          <w:lang w:eastAsia="zh-CN"/>
        </w:rPr>
      </w:pPr>
    </w:p>
    <w:p w14:paraId="36686D17">
      <w:pPr>
        <w:rPr>
          <w:rFonts w:hint="eastAsia" w:ascii="Times New Roman" w:hAnsi="Times New Roman"/>
          <w:color w:val="auto"/>
          <w:lang w:eastAsia="zh-CN"/>
        </w:rPr>
      </w:pPr>
    </w:p>
    <w:sectPr>
      <w:footerReference r:id="rId10" w:type="first"/>
      <w:footerReference r:id="rId9"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
    <w:altName w:val="Segoe Print"/>
    <w:panose1 w:val="00000000000000000000"/>
    <w:charset w:val="00"/>
    <w:family w:val="roman"/>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40755C">
    <w:pPr>
      <w:pStyle w:val="11"/>
      <w:jc w:val="center"/>
    </w:pPr>
  </w:p>
  <w:p w14:paraId="6ED70169">
    <w:pPr>
      <w:pStyle w:val="11"/>
      <w:ind w:firstLine="3960" w:firstLineChars="2200"/>
      <w:rPr>
        <w:rFonts w:hint="eastAsia" w:eastAsia="宋体"/>
        <w:lang w:val="en-US" w:eastAsia="zh-C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550B81">
    <w:pPr>
      <w:pStyle w:val="11"/>
      <w:rPr>
        <w:rFonts w:hint="eastAsia" w:eastAsia="宋体"/>
        <w:lang w:val="en-US" w:eastAsia="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BD4BCD">
    <w:pPr>
      <w:pStyle w:val="11"/>
      <w:jc w:val="center"/>
    </w:pPr>
    <w:r>
      <w:rPr>
        <w:sz w:val="18"/>
      </w:rPr>
      <mc:AlternateContent>
        <mc:Choice Requires="wps">
          <w:drawing>
            <wp:anchor distT="0" distB="0" distL="114300" distR="114300" simplePos="0" relativeHeight="251667456" behindDoc="0" locked="0" layoutInCell="1" allowOverlap="1">
              <wp:simplePos x="0" y="0"/>
              <wp:positionH relativeFrom="margin">
                <wp:align>outside</wp:align>
              </wp:positionH>
              <wp:positionV relativeFrom="paragraph">
                <wp:posOffset>0</wp:posOffset>
              </wp:positionV>
              <wp:extent cx="1828800" cy="1828800"/>
              <wp:effectExtent l="0" t="0" r="0" b="0"/>
              <wp:wrapNone/>
              <wp:docPr id="30" name="文本框 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927018">
                          <w:pPr>
                            <w:pStyle w:val="11"/>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ApX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MClfjICAABjBAAADgAAAAAAAAABACAAAAAfAQAAZHJzL2Uyb0RvYy54bWxQSwUG&#10;AAAAAAYABgBZAQAAwwUAAAAA&#10;">
              <v:fill on="f" focussize="0,0"/>
              <v:stroke on="f" weight="0.5pt"/>
              <v:imagedata o:title=""/>
              <o:lock v:ext="edit" aspectratio="f"/>
              <v:textbox inset="0mm,0mm,0mm,0mm" style="mso-fit-shape-to-text:t;">
                <w:txbxContent>
                  <w:p w14:paraId="3E927018">
                    <w:pPr>
                      <w:pStyle w:val="11"/>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p w14:paraId="40DE8F84">
    <w:pPr>
      <w:pStyle w:val="11"/>
      <w:ind w:firstLine="3960" w:firstLineChars="2200"/>
      <w:rPr>
        <w:rFonts w:hint="eastAsia" w:eastAsia="宋体"/>
        <w:lang w:val="en-US" w:eastAsia="zh-CN"/>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4F1B1A">
    <w:pPr>
      <w:pStyle w:val="11"/>
      <w:jc w:val="center"/>
    </w:pPr>
    <w:r>
      <w:rPr>
        <w:sz w:val="18"/>
      </w:rP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5" name="文本框 4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7148462">
                          <w:pPr>
                            <w:pStyle w:val="11"/>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M3OczAgAAYwQAAA4AAABkcnMvZTJvRG9jLnhtbK1UzY7TMBC+I/EO&#10;lu80aWFX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ObM3OczAgAAYwQAAA4AAAAAAAAAAQAgAAAAHwEAAGRycy9lMm9Eb2MueG1sUEsF&#10;BgAAAAAGAAYAWQEAAMQFAAAAAA==&#10;">
              <v:fill on="f" focussize="0,0"/>
              <v:stroke on="f" weight="0.5pt"/>
              <v:imagedata o:title=""/>
              <o:lock v:ext="edit" aspectratio="f"/>
              <v:textbox inset="0mm,0mm,0mm,0mm" style="mso-fit-shape-to-text:t;">
                <w:txbxContent>
                  <w:p w14:paraId="47148462">
                    <w:pPr>
                      <w:pStyle w:val="11"/>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p w14:paraId="2C96AEC6">
    <w:pPr>
      <w:pStyle w:val="11"/>
      <w:ind w:firstLine="3960" w:firstLineChars="2200"/>
      <w:rPr>
        <w:rFonts w:hint="eastAsia" w:eastAsia="宋体"/>
        <w:lang w:val="en-US" w:eastAsia="zh-CN"/>
      </w:rPr>
    </w:pPr>
    <w:r>
      <w:rPr>
        <w:rFonts w:hint="eastAsia"/>
        <w:lang w:val="en-US" w:eastAsia="zh-CN"/>
      </w:rPr>
      <w:t>1</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56E097">
    <w:pPr>
      <w:pStyle w:val="11"/>
    </w:pPr>
    <w:r>
      <w:rPr>
        <w:sz w:val="18"/>
      </w:rPr>
      <mc:AlternateContent>
        <mc:Choice Requires="wps">
          <w:drawing>
            <wp:anchor distT="0" distB="0" distL="114300" distR="114300" simplePos="0" relativeHeight="25166540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6" name="文本框 4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FDA0B26">
                          <w:pPr>
                            <w:pStyle w:val="11"/>
                          </w:pPr>
                          <w:r>
                            <w:t xml:space="preserve">— </w:t>
                          </w:r>
                          <w:r>
                            <w:fldChar w:fldCharType="begin"/>
                          </w:r>
                          <w:r>
                            <w:instrText xml:space="preserve"> PAGE  \* MERGEFORMAT </w:instrText>
                          </w:r>
                          <w:r>
                            <w:fldChar w:fldCharType="separate"/>
                          </w:r>
                          <w:r>
                            <w:t>3</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EyFQwzAgAAYwQAAA4AAAAAAAAAAQAgAAAAHwEAAGRycy9lMm9Eb2MueG1sUEsF&#10;BgAAAAAGAAYAWQEAAMQFAAAAAA==&#10;">
              <v:fill on="f" focussize="0,0"/>
              <v:stroke on="f" weight="0.5pt"/>
              <v:imagedata o:title=""/>
              <o:lock v:ext="edit" aspectratio="f"/>
              <v:textbox inset="0mm,0mm,0mm,0mm" style="mso-fit-shape-to-text:t;">
                <w:txbxContent>
                  <w:p w14:paraId="7FDA0B26">
                    <w:pPr>
                      <w:pStyle w:val="11"/>
                    </w:pPr>
                    <w:r>
                      <w:t xml:space="preserve">— </w:t>
                    </w:r>
                    <w:r>
                      <w:fldChar w:fldCharType="begin"/>
                    </w:r>
                    <w:r>
                      <w:instrText xml:space="preserve"> PAGE  \* MERGEFORMAT </w:instrText>
                    </w:r>
                    <w:r>
                      <w:fldChar w:fldCharType="separate"/>
                    </w:r>
                    <w:r>
                      <w:t>3</w:t>
                    </w:r>
                    <w:r>
                      <w:fldChar w:fldCharType="end"/>
                    </w:r>
                    <w:r>
                      <w:t xml:space="preserve"> —</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B5DF7D">
    <w:pPr>
      <w:pStyle w:val="11"/>
      <w:jc w:val="center"/>
    </w:pPr>
    <w:r>
      <w:rPr>
        <w:sz w:val="18"/>
      </w:rPr>
      <mc:AlternateContent>
        <mc:Choice Requires="wps">
          <w:drawing>
            <wp:anchor distT="0" distB="0" distL="114300" distR="114300" simplePos="0" relativeHeight="251666432" behindDoc="0" locked="0" layoutInCell="1" allowOverlap="1">
              <wp:simplePos x="0" y="0"/>
              <wp:positionH relativeFrom="margin">
                <wp:align>outside</wp:align>
              </wp:positionH>
              <wp:positionV relativeFrom="paragraph">
                <wp:posOffset>0</wp:posOffset>
              </wp:positionV>
              <wp:extent cx="1828800" cy="1828800"/>
              <wp:effectExtent l="0" t="0" r="0" b="0"/>
              <wp:wrapNone/>
              <wp:docPr id="47" name="文本框 4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6BDA488">
                          <w:pPr>
                            <w:pStyle w:val="11"/>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4</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COaguMzAgAAYwQAAA4AAAAAAAAAAQAgAAAAHwEAAGRycy9lMm9Eb2MueG1sUEsF&#10;BgAAAAAGAAYAWQEAAMQFAAAAAA==&#10;">
              <v:fill on="f" focussize="0,0"/>
              <v:stroke on="f" weight="0.5pt"/>
              <v:imagedata o:title=""/>
              <o:lock v:ext="edit" aspectratio="f"/>
              <v:textbox inset="0mm,0mm,0mm,0mm" style="mso-fit-shape-to-text:t;">
                <w:txbxContent>
                  <w:p w14:paraId="36BDA488">
                    <w:pPr>
                      <w:pStyle w:val="11"/>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4</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p w14:paraId="3A019505">
    <w:pPr>
      <w:pStyle w:val="11"/>
      <w:ind w:firstLine="3960" w:firstLineChars="2200"/>
      <w:rPr>
        <w:rFonts w:hint="eastAsia"/>
        <w:lang w:val="en-US" w:eastAsia="zh-CN"/>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5D7100">
    <w:pPr>
      <w:pStyle w:val="11"/>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472CDE8">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14:paraId="0472CDE8">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B58A50">
    <w:pPr>
      <w:pStyle w:val="1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0DC2E0"/>
    <w:multiLevelType w:val="singleLevel"/>
    <w:tmpl w:val="870DC2E0"/>
    <w:lvl w:ilvl="0" w:tentative="0">
      <w:start w:val="1"/>
      <w:numFmt w:val="chineseCounting"/>
      <w:suff w:val="nothing"/>
      <w:lvlText w:val="%1、"/>
      <w:lvlJc w:val="left"/>
      <w:rPr>
        <w:rFonts w:hint="eastAsia"/>
      </w:rPr>
    </w:lvl>
  </w:abstractNum>
  <w:abstractNum w:abstractNumId="1">
    <w:nsid w:val="A2BD9782"/>
    <w:multiLevelType w:val="singleLevel"/>
    <w:tmpl w:val="A2BD9782"/>
    <w:lvl w:ilvl="0" w:tentative="0">
      <w:start w:val="2"/>
      <w:numFmt w:val="chineseCounting"/>
      <w:suff w:val="nothing"/>
      <w:lvlText w:val="（%1）"/>
      <w:lvlJc w:val="left"/>
      <w:rPr>
        <w:rFonts w:hint="eastAsia"/>
      </w:rPr>
    </w:lvl>
  </w:abstractNum>
  <w:abstractNum w:abstractNumId="2">
    <w:nsid w:val="DC9E9BFC"/>
    <w:multiLevelType w:val="singleLevel"/>
    <w:tmpl w:val="DC9E9BFC"/>
    <w:lvl w:ilvl="0" w:tentative="0">
      <w:start w:val="2"/>
      <w:numFmt w:val="chineseCounting"/>
      <w:suff w:val="nothing"/>
      <w:lvlText w:val="（%1）"/>
      <w:lvlJc w:val="left"/>
      <w:rPr>
        <w:rFonts w:hint="eastAsia"/>
      </w:rPr>
    </w:lvl>
  </w:abstractNum>
  <w:abstractNum w:abstractNumId="3">
    <w:nsid w:val="4821712C"/>
    <w:multiLevelType w:val="singleLevel"/>
    <w:tmpl w:val="4821712C"/>
    <w:lvl w:ilvl="0" w:tentative="0">
      <w:start w:val="2"/>
      <w:numFmt w:val="chineseCounting"/>
      <w:suff w:val="nothing"/>
      <w:lvlText w:val="（%1）"/>
      <w:lvlJc w:val="left"/>
      <w:rPr>
        <w:rFonts w:hint="eastAsia"/>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19"/>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I0MDRjYzFmZDMyZjVhOTJhMjUxYjkwYTJiMmFkNzYifQ=="/>
  </w:docVars>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4633"/>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12A5EC2"/>
    <w:rsid w:val="012D0479"/>
    <w:rsid w:val="015975B8"/>
    <w:rsid w:val="02FEBE30"/>
    <w:rsid w:val="04916F1E"/>
    <w:rsid w:val="05CF7D50"/>
    <w:rsid w:val="061E35DE"/>
    <w:rsid w:val="066E0107"/>
    <w:rsid w:val="07996F6E"/>
    <w:rsid w:val="07DFD8BA"/>
    <w:rsid w:val="089206B9"/>
    <w:rsid w:val="09867E8F"/>
    <w:rsid w:val="0A2032A3"/>
    <w:rsid w:val="0B4C689D"/>
    <w:rsid w:val="0C4D5E73"/>
    <w:rsid w:val="0CA8290A"/>
    <w:rsid w:val="0D35B1ED"/>
    <w:rsid w:val="0E254B6B"/>
    <w:rsid w:val="0F98263C"/>
    <w:rsid w:val="101860EC"/>
    <w:rsid w:val="101F47CC"/>
    <w:rsid w:val="10C055FF"/>
    <w:rsid w:val="11694EBD"/>
    <w:rsid w:val="11772AA4"/>
    <w:rsid w:val="118107EC"/>
    <w:rsid w:val="12E24EE2"/>
    <w:rsid w:val="13D50BC4"/>
    <w:rsid w:val="14485C1B"/>
    <w:rsid w:val="14601BF9"/>
    <w:rsid w:val="14B17F78"/>
    <w:rsid w:val="15CE592F"/>
    <w:rsid w:val="165E0673"/>
    <w:rsid w:val="16B831D5"/>
    <w:rsid w:val="16BB723D"/>
    <w:rsid w:val="17982698"/>
    <w:rsid w:val="17E50567"/>
    <w:rsid w:val="17EF6030"/>
    <w:rsid w:val="186504BB"/>
    <w:rsid w:val="19A445FC"/>
    <w:rsid w:val="1BE8440E"/>
    <w:rsid w:val="1CFC7225"/>
    <w:rsid w:val="1D155CEE"/>
    <w:rsid w:val="1D1638FE"/>
    <w:rsid w:val="1E312DEB"/>
    <w:rsid w:val="1E740ACF"/>
    <w:rsid w:val="1FF35744"/>
    <w:rsid w:val="1FF6BC77"/>
    <w:rsid w:val="205A3B7D"/>
    <w:rsid w:val="2186353C"/>
    <w:rsid w:val="21A460DD"/>
    <w:rsid w:val="22772A15"/>
    <w:rsid w:val="23860B96"/>
    <w:rsid w:val="240371BF"/>
    <w:rsid w:val="244F3473"/>
    <w:rsid w:val="24C97D99"/>
    <w:rsid w:val="24FB4266"/>
    <w:rsid w:val="25A718F0"/>
    <w:rsid w:val="25BB59F6"/>
    <w:rsid w:val="25C44658"/>
    <w:rsid w:val="260F557C"/>
    <w:rsid w:val="26970054"/>
    <w:rsid w:val="281408E2"/>
    <w:rsid w:val="28AF339E"/>
    <w:rsid w:val="29FD04D3"/>
    <w:rsid w:val="2B3109E2"/>
    <w:rsid w:val="2BFF7BC6"/>
    <w:rsid w:val="2C097269"/>
    <w:rsid w:val="2C8A61B5"/>
    <w:rsid w:val="2DF04E50"/>
    <w:rsid w:val="2E586DFA"/>
    <w:rsid w:val="2F040D46"/>
    <w:rsid w:val="2F6B035B"/>
    <w:rsid w:val="2F776BDF"/>
    <w:rsid w:val="2FAE5751"/>
    <w:rsid w:val="2FB1A395"/>
    <w:rsid w:val="2FD9A7D8"/>
    <w:rsid w:val="2FDBF714"/>
    <w:rsid w:val="2FF87D20"/>
    <w:rsid w:val="30AB6865"/>
    <w:rsid w:val="317A6513"/>
    <w:rsid w:val="319F7F4E"/>
    <w:rsid w:val="32BD1EF1"/>
    <w:rsid w:val="3304709D"/>
    <w:rsid w:val="33243718"/>
    <w:rsid w:val="33A773CB"/>
    <w:rsid w:val="349D6851"/>
    <w:rsid w:val="36AA5135"/>
    <w:rsid w:val="36BE0DA7"/>
    <w:rsid w:val="36DD37CC"/>
    <w:rsid w:val="376B6AA6"/>
    <w:rsid w:val="376D39B2"/>
    <w:rsid w:val="37E16F03"/>
    <w:rsid w:val="37F53A3B"/>
    <w:rsid w:val="389B6C89"/>
    <w:rsid w:val="38D469F0"/>
    <w:rsid w:val="39627CCD"/>
    <w:rsid w:val="397BAF1F"/>
    <w:rsid w:val="39E3407B"/>
    <w:rsid w:val="3A1C460B"/>
    <w:rsid w:val="3AB79AF3"/>
    <w:rsid w:val="3AE834C0"/>
    <w:rsid w:val="3B7EF35A"/>
    <w:rsid w:val="3B9FDB6C"/>
    <w:rsid w:val="3BF5BC2F"/>
    <w:rsid w:val="3CEBA265"/>
    <w:rsid w:val="3D98207C"/>
    <w:rsid w:val="3DEE7CF3"/>
    <w:rsid w:val="3E65226D"/>
    <w:rsid w:val="3E740A63"/>
    <w:rsid w:val="3E78745D"/>
    <w:rsid w:val="3EE17838"/>
    <w:rsid w:val="3F55381A"/>
    <w:rsid w:val="3F7F7599"/>
    <w:rsid w:val="3FF4CAE0"/>
    <w:rsid w:val="3FF57712"/>
    <w:rsid w:val="3FF7B227"/>
    <w:rsid w:val="403F72A5"/>
    <w:rsid w:val="418C2076"/>
    <w:rsid w:val="42733236"/>
    <w:rsid w:val="44E268DA"/>
    <w:rsid w:val="450D13D7"/>
    <w:rsid w:val="45506656"/>
    <w:rsid w:val="486A6C7A"/>
    <w:rsid w:val="486E697A"/>
    <w:rsid w:val="487F7B36"/>
    <w:rsid w:val="48847F4B"/>
    <w:rsid w:val="49C66341"/>
    <w:rsid w:val="4A627F82"/>
    <w:rsid w:val="4B0E749A"/>
    <w:rsid w:val="4B2477C4"/>
    <w:rsid w:val="4B4F25DA"/>
    <w:rsid w:val="4BB05466"/>
    <w:rsid w:val="4BE068DB"/>
    <w:rsid w:val="4CB132D9"/>
    <w:rsid w:val="4D553C64"/>
    <w:rsid w:val="4D577224"/>
    <w:rsid w:val="4D897DB2"/>
    <w:rsid w:val="4DBF1CEB"/>
    <w:rsid w:val="4DF0007C"/>
    <w:rsid w:val="4EAB630A"/>
    <w:rsid w:val="4ECE2238"/>
    <w:rsid w:val="4F833267"/>
    <w:rsid w:val="4FE9BD67"/>
    <w:rsid w:val="4FFB052F"/>
    <w:rsid w:val="50772144"/>
    <w:rsid w:val="510E1828"/>
    <w:rsid w:val="521C7446"/>
    <w:rsid w:val="537E6D0A"/>
    <w:rsid w:val="53F74C96"/>
    <w:rsid w:val="55170BA8"/>
    <w:rsid w:val="553218C9"/>
    <w:rsid w:val="567E1AA5"/>
    <w:rsid w:val="56A31EE4"/>
    <w:rsid w:val="56E47B74"/>
    <w:rsid w:val="57175D52"/>
    <w:rsid w:val="577E025B"/>
    <w:rsid w:val="57BD3DD4"/>
    <w:rsid w:val="582F1556"/>
    <w:rsid w:val="595219A0"/>
    <w:rsid w:val="59D45EB2"/>
    <w:rsid w:val="5AF92295"/>
    <w:rsid w:val="5B250254"/>
    <w:rsid w:val="5BDD79E6"/>
    <w:rsid w:val="5BF561CA"/>
    <w:rsid w:val="5BFF5DFC"/>
    <w:rsid w:val="5CD71FC4"/>
    <w:rsid w:val="5D1F11B5"/>
    <w:rsid w:val="5D695134"/>
    <w:rsid w:val="5DAE1B18"/>
    <w:rsid w:val="5DB93D9B"/>
    <w:rsid w:val="5DE7D9E5"/>
    <w:rsid w:val="5ECEC941"/>
    <w:rsid w:val="5FBF9FF3"/>
    <w:rsid w:val="5FCD4E2C"/>
    <w:rsid w:val="5FEF394A"/>
    <w:rsid w:val="5FF67715"/>
    <w:rsid w:val="60F670B5"/>
    <w:rsid w:val="628A5603"/>
    <w:rsid w:val="62BF3928"/>
    <w:rsid w:val="63155F18"/>
    <w:rsid w:val="63B3701E"/>
    <w:rsid w:val="64526CF8"/>
    <w:rsid w:val="647F5392"/>
    <w:rsid w:val="65E66580"/>
    <w:rsid w:val="664B1D71"/>
    <w:rsid w:val="664B4E8E"/>
    <w:rsid w:val="67277B67"/>
    <w:rsid w:val="67AA3209"/>
    <w:rsid w:val="698D0931"/>
    <w:rsid w:val="69A753F0"/>
    <w:rsid w:val="6A7FE5F3"/>
    <w:rsid w:val="6B053271"/>
    <w:rsid w:val="6BDD78B3"/>
    <w:rsid w:val="6C4A05C8"/>
    <w:rsid w:val="6C8742B8"/>
    <w:rsid w:val="6CEE3336"/>
    <w:rsid w:val="6DBF5E93"/>
    <w:rsid w:val="6DFF077E"/>
    <w:rsid w:val="6E714EF0"/>
    <w:rsid w:val="6E7E3605"/>
    <w:rsid w:val="6E7FDCC7"/>
    <w:rsid w:val="6ED6A62E"/>
    <w:rsid w:val="6EE00B15"/>
    <w:rsid w:val="6F6FB3EB"/>
    <w:rsid w:val="6F8731EA"/>
    <w:rsid w:val="6FCE6052"/>
    <w:rsid w:val="6FD57C00"/>
    <w:rsid w:val="6FEFFFD8"/>
    <w:rsid w:val="6FF5CC65"/>
    <w:rsid w:val="6FFB47EC"/>
    <w:rsid w:val="6FFF034A"/>
    <w:rsid w:val="70484440"/>
    <w:rsid w:val="712A28F1"/>
    <w:rsid w:val="715C0E4B"/>
    <w:rsid w:val="71992E7C"/>
    <w:rsid w:val="71AB5C99"/>
    <w:rsid w:val="72233669"/>
    <w:rsid w:val="72734D90"/>
    <w:rsid w:val="73160E6D"/>
    <w:rsid w:val="7332FE48"/>
    <w:rsid w:val="73532145"/>
    <w:rsid w:val="73AB61DA"/>
    <w:rsid w:val="73AD73D5"/>
    <w:rsid w:val="73B6EB34"/>
    <w:rsid w:val="73FA497D"/>
    <w:rsid w:val="744731E5"/>
    <w:rsid w:val="748C590E"/>
    <w:rsid w:val="74BBD01D"/>
    <w:rsid w:val="74ED5379"/>
    <w:rsid w:val="75DEEEC2"/>
    <w:rsid w:val="75E32345"/>
    <w:rsid w:val="75E672A0"/>
    <w:rsid w:val="76E3355F"/>
    <w:rsid w:val="76FF5125"/>
    <w:rsid w:val="776F6FFA"/>
    <w:rsid w:val="778769C8"/>
    <w:rsid w:val="77A75DCA"/>
    <w:rsid w:val="77DC22F5"/>
    <w:rsid w:val="783E271A"/>
    <w:rsid w:val="78504A25"/>
    <w:rsid w:val="78616DE9"/>
    <w:rsid w:val="78E875D7"/>
    <w:rsid w:val="79086DAD"/>
    <w:rsid w:val="79BA1833"/>
    <w:rsid w:val="79D7FD79"/>
    <w:rsid w:val="79EE5BA4"/>
    <w:rsid w:val="7A894339"/>
    <w:rsid w:val="7AD284E8"/>
    <w:rsid w:val="7AFF7572"/>
    <w:rsid w:val="7B1D3764"/>
    <w:rsid w:val="7B6C7DFB"/>
    <w:rsid w:val="7BBFBED0"/>
    <w:rsid w:val="7BC3E394"/>
    <w:rsid w:val="7C1F3737"/>
    <w:rsid w:val="7CBFC87B"/>
    <w:rsid w:val="7CFE0F48"/>
    <w:rsid w:val="7D272ABC"/>
    <w:rsid w:val="7D7EC23E"/>
    <w:rsid w:val="7E8ADEBF"/>
    <w:rsid w:val="7EEF11D3"/>
    <w:rsid w:val="7EFE4840"/>
    <w:rsid w:val="7F0971A6"/>
    <w:rsid w:val="7F1D62E7"/>
    <w:rsid w:val="7F3F679B"/>
    <w:rsid w:val="7F4FC4EF"/>
    <w:rsid w:val="7F5E4D54"/>
    <w:rsid w:val="7F6E0135"/>
    <w:rsid w:val="7F79F205"/>
    <w:rsid w:val="7FA30C79"/>
    <w:rsid w:val="7FA79C44"/>
    <w:rsid w:val="7FAF8ABF"/>
    <w:rsid w:val="7FB7269E"/>
    <w:rsid w:val="7FC96657"/>
    <w:rsid w:val="7FDA9588"/>
    <w:rsid w:val="7FDF220F"/>
    <w:rsid w:val="7FEDC5F7"/>
    <w:rsid w:val="7FEDD9DE"/>
    <w:rsid w:val="7FF5890D"/>
    <w:rsid w:val="7FF93490"/>
    <w:rsid w:val="99FF2014"/>
    <w:rsid w:val="A6DD0D7F"/>
    <w:rsid w:val="ACFF4FBB"/>
    <w:rsid w:val="ADC6F725"/>
    <w:rsid w:val="B7CF06AB"/>
    <w:rsid w:val="B7CFA926"/>
    <w:rsid w:val="B7F8786B"/>
    <w:rsid w:val="BABB6AA1"/>
    <w:rsid w:val="BB2F4199"/>
    <w:rsid w:val="BCFFB442"/>
    <w:rsid w:val="BD079C78"/>
    <w:rsid w:val="BD733540"/>
    <w:rsid w:val="BF3735D5"/>
    <w:rsid w:val="BF7F09AC"/>
    <w:rsid w:val="BFD475C3"/>
    <w:rsid w:val="BFDE5EA6"/>
    <w:rsid w:val="CF6FC6F3"/>
    <w:rsid w:val="CFD3D3D7"/>
    <w:rsid w:val="CFDF1009"/>
    <w:rsid w:val="D7D7B16A"/>
    <w:rsid w:val="D8D6DB89"/>
    <w:rsid w:val="DB6F4CAB"/>
    <w:rsid w:val="DB777682"/>
    <w:rsid w:val="DD1FB521"/>
    <w:rsid w:val="DEFBFEAE"/>
    <w:rsid w:val="DF1F3B80"/>
    <w:rsid w:val="DF6F9789"/>
    <w:rsid w:val="DFE9BE81"/>
    <w:rsid w:val="DFFFA9E8"/>
    <w:rsid w:val="E5F4E9DC"/>
    <w:rsid w:val="E70FE695"/>
    <w:rsid w:val="EB2E368B"/>
    <w:rsid w:val="ECFED1BC"/>
    <w:rsid w:val="ED1D69BB"/>
    <w:rsid w:val="ED7FD312"/>
    <w:rsid w:val="EF2E1AC6"/>
    <w:rsid w:val="EF53993F"/>
    <w:rsid w:val="EF6FD633"/>
    <w:rsid w:val="EFBFB2F4"/>
    <w:rsid w:val="EFBFFA21"/>
    <w:rsid w:val="F2BEBCB8"/>
    <w:rsid w:val="F36FB518"/>
    <w:rsid w:val="F3DE1A04"/>
    <w:rsid w:val="F3F722E5"/>
    <w:rsid w:val="F4FBCD07"/>
    <w:rsid w:val="FA5F1E70"/>
    <w:rsid w:val="FA5FDB97"/>
    <w:rsid w:val="FB7F486A"/>
    <w:rsid w:val="FBFF5B2E"/>
    <w:rsid w:val="FD7FFE2B"/>
    <w:rsid w:val="FDEE196B"/>
    <w:rsid w:val="FDFE6575"/>
    <w:rsid w:val="FEDFDDC2"/>
    <w:rsid w:val="FEED32F6"/>
    <w:rsid w:val="FEF781DD"/>
    <w:rsid w:val="FF3F7E3F"/>
    <w:rsid w:val="FFBA12D7"/>
    <w:rsid w:val="FFCBD314"/>
    <w:rsid w:val="FFDFF91C"/>
    <w:rsid w:val="FFDFFAEE"/>
    <w:rsid w:val="FFEF6777"/>
    <w:rsid w:val="FFF9B57B"/>
    <w:rsid w:val="FFFD61D9"/>
    <w:rsid w:val="FFFD8F59"/>
    <w:rsid w:val="FFFF2BB1"/>
    <w:rsid w:val="FFFFB04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0"/>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31"/>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4"/>
    <w:unhideWhenUsed/>
    <w:qFormat/>
    <w:uiPriority w:val="9"/>
    <w:pPr>
      <w:keepNext/>
      <w:keepLines/>
      <w:spacing w:before="260" w:after="260" w:line="416" w:lineRule="auto"/>
      <w:outlineLvl w:val="2"/>
    </w:pPr>
    <w:rPr>
      <w:b/>
      <w:bCs/>
      <w:sz w:val="32"/>
      <w:szCs w:val="32"/>
    </w:rPr>
  </w:style>
  <w:style w:type="character" w:default="1" w:styleId="18">
    <w:name w:val="Default Paragraph Font"/>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5">
    <w:name w:val="Body Text"/>
    <w:basedOn w:val="1"/>
    <w:link w:val="27"/>
    <w:qFormat/>
    <w:uiPriority w:val="99"/>
    <w:pPr>
      <w:spacing w:beforeLines="30"/>
    </w:pPr>
    <w:rPr>
      <w:rFonts w:ascii="仿宋_GB2312" w:eastAsia="仿宋_GB2312"/>
      <w:kern w:val="0"/>
      <w:sz w:val="30"/>
    </w:rPr>
  </w:style>
  <w:style w:type="paragraph" w:styleId="6">
    <w:name w:val="Body Text Indent"/>
    <w:basedOn w:val="1"/>
    <w:next w:val="7"/>
    <w:qFormat/>
    <w:uiPriority w:val="0"/>
    <w:pPr>
      <w:spacing w:after="120"/>
      <w:ind w:leftChars="200"/>
    </w:pPr>
    <w:rPr>
      <w:rFonts w:ascii="仿宋_GB2312"/>
      <w:szCs w:val="32"/>
    </w:rPr>
  </w:style>
  <w:style w:type="paragraph" w:styleId="7">
    <w:name w:val="Body Text First Indent 2"/>
    <w:basedOn w:val="6"/>
    <w:unhideWhenUsed/>
    <w:qFormat/>
    <w:uiPriority w:val="99"/>
    <w:pPr>
      <w:ind w:firstLine="420" w:firstLineChars="200"/>
    </w:pPr>
  </w:style>
  <w:style w:type="paragraph" w:styleId="8">
    <w:name w:val="toc 3"/>
    <w:basedOn w:val="1"/>
    <w:next w:val="1"/>
    <w:unhideWhenUsed/>
    <w:qFormat/>
    <w:uiPriority w:val="39"/>
    <w:pPr>
      <w:tabs>
        <w:tab w:val="right" w:leader="dot" w:pos="8296"/>
      </w:tabs>
      <w:ind w:left="840" w:leftChars="400"/>
    </w:pPr>
  </w:style>
  <w:style w:type="paragraph" w:styleId="9">
    <w:name w:val="Plain Text"/>
    <w:basedOn w:val="1"/>
    <w:qFormat/>
    <w:uiPriority w:val="0"/>
    <w:rPr>
      <w:rFonts w:ascii="宋体" w:hAnsi="Courier New" w:cs="Courier New"/>
      <w:color w:val="000000"/>
      <w:spacing w:val="20"/>
      <w:szCs w:val="21"/>
    </w:rPr>
  </w:style>
  <w:style w:type="paragraph" w:styleId="10">
    <w:name w:val="Balloon Text"/>
    <w:basedOn w:val="1"/>
    <w:link w:val="33"/>
    <w:semiHidden/>
    <w:unhideWhenUsed/>
    <w:qFormat/>
    <w:uiPriority w:val="99"/>
    <w:rPr>
      <w:sz w:val="18"/>
      <w:szCs w:val="18"/>
    </w:rPr>
  </w:style>
  <w:style w:type="paragraph" w:styleId="11">
    <w:name w:val="footer"/>
    <w:basedOn w:val="1"/>
    <w:link w:val="25"/>
    <w:qFormat/>
    <w:uiPriority w:val="99"/>
    <w:pPr>
      <w:tabs>
        <w:tab w:val="center" w:pos="4153"/>
        <w:tab w:val="right" w:pos="8306"/>
      </w:tabs>
      <w:snapToGrid w:val="0"/>
      <w:jc w:val="left"/>
    </w:pPr>
    <w:rPr>
      <w:rFonts w:ascii="Calibri" w:hAnsi="Calibri"/>
      <w:kern w:val="0"/>
      <w:sz w:val="18"/>
      <w:szCs w:val="18"/>
    </w:rPr>
  </w:style>
  <w:style w:type="paragraph" w:styleId="12">
    <w:name w:val="header"/>
    <w:basedOn w:val="1"/>
    <w:link w:val="23"/>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3">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4">
    <w:name w:val="footnote text"/>
    <w:basedOn w:val="1"/>
    <w:next w:val="7"/>
    <w:semiHidden/>
    <w:qFormat/>
    <w:uiPriority w:val="0"/>
    <w:pPr>
      <w:snapToGrid w:val="0"/>
      <w:jc w:val="left"/>
    </w:pPr>
    <w:rPr>
      <w:sz w:val="18"/>
      <w:szCs w:val="18"/>
    </w:rPr>
  </w:style>
  <w:style w:type="paragraph" w:styleId="15">
    <w:name w:val="toc 2"/>
    <w:basedOn w:val="1"/>
    <w:next w:val="1"/>
    <w:unhideWhenUsed/>
    <w:qFormat/>
    <w:uiPriority w:val="39"/>
    <w:pPr>
      <w:tabs>
        <w:tab w:val="right" w:leader="dot" w:pos="8296"/>
      </w:tabs>
      <w:ind w:left="420" w:leftChars="200"/>
    </w:pPr>
  </w:style>
  <w:style w:type="paragraph" w:styleId="16">
    <w:name w:val="Title"/>
    <w:basedOn w:val="1"/>
    <w:next w:val="1"/>
    <w:qFormat/>
    <w:uiPriority w:val="0"/>
    <w:pPr>
      <w:widowControl w:val="0"/>
      <w:spacing w:before="240" w:after="60"/>
      <w:jc w:val="center"/>
      <w:outlineLvl w:val="0"/>
    </w:pPr>
    <w:rPr>
      <w:rFonts w:hint="default" w:ascii="Cambria" w:hAnsi="Cambria" w:cs="Times New Roman"/>
      <w:b/>
      <w:kern w:val="2"/>
      <w:sz w:val="32"/>
      <w:szCs w:val="32"/>
    </w:rPr>
  </w:style>
  <w:style w:type="character" w:styleId="19">
    <w:name w:val="Strong"/>
    <w:basedOn w:val="18"/>
    <w:qFormat/>
    <w:uiPriority w:val="99"/>
    <w:rPr>
      <w:b/>
    </w:rPr>
  </w:style>
  <w:style w:type="character" w:styleId="20">
    <w:name w:val="Hyperlink"/>
    <w:basedOn w:val="18"/>
    <w:unhideWhenUsed/>
    <w:qFormat/>
    <w:uiPriority w:val="99"/>
    <w:rPr>
      <w:color w:val="0000FF" w:themeColor="hyperlink"/>
      <w:u w:val="single"/>
      <w14:textFill>
        <w14:solidFill>
          <w14:schemeClr w14:val="hlink"/>
        </w14:solidFill>
      </w14:textFill>
    </w:rPr>
  </w:style>
  <w:style w:type="paragraph" w:customStyle="1" w:styleId="21">
    <w:name w:val="标题 5（有编号）（绿盟科技）"/>
    <w:next w:val="1"/>
    <w:qFormat/>
    <w:uiPriority w:val="99"/>
    <w:pPr>
      <w:keepNext/>
      <w:keepLines/>
      <w:widowControl w:val="0"/>
      <w:spacing w:before="280" w:after="156" w:line="377" w:lineRule="auto"/>
      <w:jc w:val="left"/>
      <w:outlineLvl w:val="4"/>
    </w:pPr>
    <w:rPr>
      <w:rFonts w:ascii="Arial" w:hAnsi="Arial" w:eastAsia="黑体" w:cs="Times New Roman"/>
      <w:b/>
      <w:kern w:val="2"/>
      <w:sz w:val="24"/>
      <w:szCs w:val="28"/>
      <w:lang w:val="en-US" w:eastAsia="zh-CN" w:bidi="ar-SA"/>
    </w:rPr>
  </w:style>
  <w:style w:type="character" w:customStyle="1" w:styleId="22">
    <w:name w:val="Header Char"/>
    <w:basedOn w:val="18"/>
    <w:semiHidden/>
    <w:qFormat/>
    <w:uiPriority w:val="99"/>
    <w:rPr>
      <w:rFonts w:ascii="Times New Roman" w:hAnsi="Times New Roman"/>
      <w:sz w:val="18"/>
      <w:szCs w:val="18"/>
    </w:rPr>
  </w:style>
  <w:style w:type="character" w:customStyle="1" w:styleId="23">
    <w:name w:val="页眉 Char"/>
    <w:link w:val="12"/>
    <w:semiHidden/>
    <w:qFormat/>
    <w:locked/>
    <w:uiPriority w:val="99"/>
    <w:rPr>
      <w:sz w:val="18"/>
    </w:rPr>
  </w:style>
  <w:style w:type="character" w:customStyle="1" w:styleId="24">
    <w:name w:val="Footer Char"/>
    <w:basedOn w:val="18"/>
    <w:semiHidden/>
    <w:qFormat/>
    <w:uiPriority w:val="99"/>
    <w:rPr>
      <w:rFonts w:ascii="Times New Roman" w:hAnsi="Times New Roman"/>
      <w:sz w:val="18"/>
      <w:szCs w:val="18"/>
    </w:rPr>
  </w:style>
  <w:style w:type="character" w:customStyle="1" w:styleId="25">
    <w:name w:val="页脚 Char"/>
    <w:link w:val="11"/>
    <w:qFormat/>
    <w:locked/>
    <w:uiPriority w:val="99"/>
    <w:rPr>
      <w:sz w:val="18"/>
    </w:rPr>
  </w:style>
  <w:style w:type="character" w:customStyle="1" w:styleId="26">
    <w:name w:val="Body Text Char"/>
    <w:basedOn w:val="18"/>
    <w:semiHidden/>
    <w:qFormat/>
    <w:uiPriority w:val="99"/>
    <w:rPr>
      <w:rFonts w:ascii="Times New Roman" w:hAnsi="Times New Roman"/>
      <w:szCs w:val="24"/>
    </w:rPr>
  </w:style>
  <w:style w:type="character" w:customStyle="1" w:styleId="27">
    <w:name w:val="正文文本 Char"/>
    <w:link w:val="5"/>
    <w:qFormat/>
    <w:locked/>
    <w:uiPriority w:val="99"/>
    <w:rPr>
      <w:rFonts w:ascii="仿宋_GB2312" w:hAnsi="Times New Roman" w:eastAsia="仿宋_GB2312"/>
      <w:sz w:val="24"/>
    </w:rPr>
  </w:style>
  <w:style w:type="paragraph" w:customStyle="1" w:styleId="28">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9">
    <w:name w:val="List Paragraph"/>
    <w:basedOn w:val="1"/>
    <w:qFormat/>
    <w:uiPriority w:val="34"/>
    <w:pPr>
      <w:ind w:firstLine="420" w:firstLineChars="200"/>
    </w:pPr>
  </w:style>
  <w:style w:type="character" w:customStyle="1" w:styleId="30">
    <w:name w:val="标题 1 Char"/>
    <w:basedOn w:val="18"/>
    <w:link w:val="2"/>
    <w:qFormat/>
    <w:uiPriority w:val="9"/>
    <w:rPr>
      <w:rFonts w:ascii="Times New Roman" w:hAnsi="Times New Roman"/>
      <w:b/>
      <w:bCs/>
      <w:kern w:val="44"/>
      <w:sz w:val="44"/>
      <w:szCs w:val="44"/>
    </w:rPr>
  </w:style>
  <w:style w:type="character" w:customStyle="1" w:styleId="31">
    <w:name w:val="标题 2 Char"/>
    <w:basedOn w:val="18"/>
    <w:link w:val="3"/>
    <w:qFormat/>
    <w:uiPriority w:val="9"/>
    <w:rPr>
      <w:rFonts w:asciiTheme="majorHAnsi" w:hAnsiTheme="majorHAnsi" w:eastAsiaTheme="majorEastAsia" w:cstheme="majorBidi"/>
      <w:b/>
      <w:bCs/>
      <w:kern w:val="2"/>
      <w:sz w:val="32"/>
      <w:szCs w:val="32"/>
    </w:rPr>
  </w:style>
  <w:style w:type="paragraph" w:customStyle="1" w:styleId="32">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3">
    <w:name w:val="批注框文本 Char"/>
    <w:basedOn w:val="18"/>
    <w:link w:val="10"/>
    <w:semiHidden/>
    <w:qFormat/>
    <w:uiPriority w:val="99"/>
    <w:rPr>
      <w:rFonts w:ascii="Times New Roman" w:hAnsi="Times New Roman"/>
      <w:kern w:val="2"/>
      <w:sz w:val="18"/>
      <w:szCs w:val="18"/>
    </w:rPr>
  </w:style>
  <w:style w:type="character" w:customStyle="1" w:styleId="34">
    <w:name w:val="标题 3 Char"/>
    <w:basedOn w:val="18"/>
    <w:link w:val="4"/>
    <w:qFormat/>
    <w:uiPriority w:val="9"/>
    <w:rPr>
      <w:rFonts w:ascii="Times New Roman" w:hAnsi="Times New Roman"/>
      <w:b/>
      <w:bCs/>
      <w:kern w:val="2"/>
      <w:sz w:val="32"/>
      <w:szCs w:val="32"/>
    </w:rPr>
  </w:style>
  <w:style w:type="paragraph" w:customStyle="1" w:styleId="35">
    <w:name w:val="TOC Heading"/>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6">
    <w:name w:val="四号正文"/>
    <w:basedOn w:val="1"/>
    <w:qFormat/>
    <w:uiPriority w:val="0"/>
    <w:pPr>
      <w:spacing w:line="360" w:lineRule="auto"/>
    </w:pPr>
    <w:rPr>
      <w:rFonts w:ascii="??" w:hAnsi="??" w:eastAsia="宋体"/>
      <w:color w:val="000000"/>
      <w:kern w:val="0"/>
      <w:sz w:val="28"/>
      <w:szCs w:val="21"/>
      <w:lang w:val="zh-CN" w:eastAsia="zh-CN"/>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1" Type="http://schemas.openxmlformats.org/officeDocument/2006/relationships/fontTable" Target="fontTable.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chart" Target="charts/chart7.xml"/><Relationship Id="rId17" Type="http://schemas.openxmlformats.org/officeDocument/2006/relationships/chart" Target="charts/chart6.xml"/><Relationship Id="rId16" Type="http://schemas.openxmlformats.org/officeDocument/2006/relationships/chart" Target="charts/chart5.xml"/><Relationship Id="rId15" Type="http://schemas.openxmlformats.org/officeDocument/2006/relationships/chart" Target="charts/chart4.xml"/><Relationship Id="rId14" Type="http://schemas.openxmlformats.org/officeDocument/2006/relationships/chart" Target="charts/chart3.xml"/><Relationship Id="rId13" Type="http://schemas.openxmlformats.org/officeDocument/2006/relationships/chart" Target="charts/chart2.xml"/><Relationship Id="rId12" Type="http://schemas.openxmlformats.org/officeDocument/2006/relationships/chart" Target="charts/chart1.xml"/><Relationship Id="rId11" Type="http://schemas.openxmlformats.org/officeDocument/2006/relationships/theme" Target="theme/theme1.xml"/><Relationship Id="rId10" Type="http://schemas.openxmlformats.org/officeDocument/2006/relationships/footer" Target="footer7.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file:///D:\2024&#24180;&#20915;&#31639;&#20844;&#24320;\&#22270;&#34920;.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package" Target="../embeddings/Workbook1.xlsx"/></Relationships>
</file>

<file path=word/charts/_rels/chart3.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D:\2024&#24180;&#20915;&#31639;&#20844;&#24320;\&#22270;&#34920;.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D:\2024&#24180;&#20915;&#31639;&#20844;&#24320;\&#22270;&#34920;.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D:\2024&#24180;&#20915;&#31639;&#20844;&#24320;\&#22270;&#34920;.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D:\2024&#24180;&#20915;&#31639;&#20844;&#24320;\&#22270;&#34920;.xlsx" TargetMode="External"/></Relationships>
</file>

<file path=word/charts/_rels/chart7.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D:\2024&#24180;&#20915;&#31639;&#20844;&#24320;\&#22270;&#349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t>收支总计变化图（万元）</a:t>
            </a:r>
          </a:p>
        </c:rich>
      </c:tx>
      <c:layout/>
      <c:overlay val="0"/>
      <c:spPr>
        <a:noFill/>
        <a:ln>
          <a:noFill/>
        </a:ln>
        <a:effectLst/>
      </c:spPr>
    </c:title>
    <c:autoTitleDeleted val="0"/>
    <c:plotArea>
      <c:layout>
        <c:manualLayout>
          <c:layoutTarget val="inner"/>
          <c:xMode val="edge"/>
          <c:yMode val="edge"/>
          <c:x val="0.0708684210526316"/>
          <c:y val="0.172916666666667"/>
          <c:w val="0.900184210526316"/>
          <c:h val="0.711666666666667"/>
        </c:manualLayout>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[图表.xlsx]Sheet1!$F$76:$F$77</c:f>
              <c:strCache>
                <c:ptCount val="2"/>
                <c:pt idx="0">
                  <c:v>2023年收支总计</c:v>
                </c:pt>
                <c:pt idx="1">
                  <c:v>2024年收支总计</c:v>
                </c:pt>
              </c:strCache>
            </c:strRef>
          </c:cat>
          <c:val>
            <c:numRef>
              <c:f>[图表.xlsx]Sheet1!$G$76:$G$77</c:f>
              <c:numCache>
                <c:formatCode>General</c:formatCode>
                <c:ptCount val="2"/>
                <c:pt idx="0">
                  <c:v>306.45</c:v>
                </c:pt>
                <c:pt idx="1">
                  <c:v>320.52</c:v>
                </c:pt>
              </c:numCache>
            </c:numRef>
          </c:val>
        </c:ser>
        <c:dLbls>
          <c:showLegendKey val="0"/>
          <c:showVal val="1"/>
          <c:showCatName val="0"/>
          <c:showSerName val="0"/>
          <c:showPercent val="0"/>
          <c:showBubbleSize val="0"/>
        </c:dLbls>
        <c:gapWidth val="246"/>
        <c:overlap val="-28"/>
        <c:axId val="911860159"/>
        <c:axId val="332249765"/>
      </c:barChart>
      <c:catAx>
        <c:axId val="911860159"/>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332249765"/>
        <c:crosses val="autoZero"/>
        <c:auto val="1"/>
        <c:lblAlgn val="ctr"/>
        <c:lblOffset val="100"/>
        <c:noMultiLvlLbl val="0"/>
      </c:catAx>
      <c:valAx>
        <c:axId val="332249765"/>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911860159"/>
        <c:crosses val="autoZero"/>
        <c:crossBetween val="between"/>
      </c:valAx>
      <c:spPr>
        <a:noFill/>
        <a:ln>
          <a:noFill/>
        </a:ln>
        <a:effectLst/>
      </c:spPr>
    </c:plotArea>
    <c:plotVisOnly val="1"/>
    <c:dispBlanksAs val="gap"/>
    <c:showDLblsOverMax val="0"/>
    <c:extLst>
      <c:ext uri="{0b15fc19-7d7d-44ad-8c2d-2c3a37ce22c3}">
        <chartProps xmlns="https://web.wps.cn/et/2018/main" chartId="{967b425a-f2f6-4394-a7c8-6070e99d5d0e}"/>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1" i="0" u="none" strike="noStrike" kern="1200" baseline="0">
              <a:solidFill>
                <a:schemeClr val="tx1">
                  <a:lumMod val="75000"/>
                  <a:lumOff val="25000"/>
                </a:schemeClr>
              </a:solidFill>
              <a:latin typeface="+mn-lt"/>
              <a:ea typeface="+mn-ea"/>
              <a:cs typeface="+mn-cs"/>
            </a:defRPr>
          </a:pPr>
        </a:p>
      </c:txPr>
    </c:title>
    <c:autoTitleDeleted val="0"/>
    <c:plotArea>
      <c:layout/>
      <c:pieChart>
        <c:varyColors val="1"/>
        <c:ser>
          <c:idx val="0"/>
          <c:order val="0"/>
          <c:tx>
            <c:strRef>
              <c:f>Sheet1!$B$1</c:f>
              <c:strCache>
                <c:ptCount val="1"/>
                <c:pt idx="0">
                  <c:v>收入决算结构图</c:v>
                </c:pt>
              </c:strCache>
            </c:strRef>
          </c:tx>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Pt>
            <c:idx val="3"/>
            <c:bubble3D val="0"/>
            <c:spPr>
              <a:solidFill>
                <a:schemeClr val="accent4"/>
              </a:solidFill>
              <a:ln>
                <a:solidFill>
                  <a:schemeClr val="bg1"/>
                </a:solidFill>
              </a:ln>
              <a:effectLst/>
            </c:spPr>
          </c:dPt>
          <c:dPt>
            <c:idx val="4"/>
            <c:bubble3D val="0"/>
            <c:spPr>
              <a:solidFill>
                <a:schemeClr val="accent5"/>
              </a:solidFill>
              <a:ln>
                <a:solidFill>
                  <a:schemeClr val="bg1"/>
                </a:solidFill>
              </a:ln>
              <a:effectLst/>
            </c:spPr>
          </c:dPt>
          <c:dPt>
            <c:idx val="5"/>
            <c:bubble3D val="0"/>
            <c:spPr>
              <a:solidFill>
                <a:schemeClr val="accent6"/>
              </a:solidFill>
              <a:ln>
                <a:solidFill>
                  <a:schemeClr val="bg1"/>
                </a:solidFill>
              </a:ln>
              <a:effectLst/>
            </c:spPr>
          </c:dPt>
          <c:dPt>
            <c:idx val="6"/>
            <c:bubble3D val="0"/>
            <c:spPr>
              <a:solidFill>
                <a:schemeClr val="accent1">
                  <a:lumMod val="60000"/>
                </a:schemeClr>
              </a:solidFill>
              <a:ln>
                <a:solidFill>
                  <a:schemeClr val="bg1"/>
                </a:solidFill>
              </a:ln>
              <a:effectLst/>
            </c:spPr>
          </c:dPt>
          <c:dPt>
            <c:idx val="7"/>
            <c:bubble3D val="0"/>
            <c:spPr>
              <a:solidFill>
                <a:schemeClr val="accent2">
                  <a:lumMod val="60000"/>
                </a:schemeClr>
              </a:solidFill>
              <a:ln>
                <a:solidFill>
                  <a:schemeClr val="bg1"/>
                </a:solidFill>
              </a:ln>
              <a:effectLst/>
            </c:spPr>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Sheet1!$A$2:$A$9</c:f>
              <c:strCache>
                <c:ptCount val="8"/>
                <c:pt idx="0">
                  <c:v>一般公共预算财政拨款收入</c:v>
                </c:pt>
                <c:pt idx="1">
                  <c:v>政府性基金预算财政拨款收入</c:v>
                </c:pt>
                <c:pt idx="2">
                  <c:v>国有资本经营预算财政拨款收入</c:v>
                </c:pt>
                <c:pt idx="3">
                  <c:v>上级补助收入</c:v>
                </c:pt>
                <c:pt idx="4">
                  <c:v>事业收入</c:v>
                </c:pt>
                <c:pt idx="5">
                  <c:v>经营收入</c:v>
                </c:pt>
                <c:pt idx="6">
                  <c:v>附属单位上缴收入</c:v>
                </c:pt>
                <c:pt idx="7">
                  <c:v>其他收入</c:v>
                </c:pt>
              </c:strCache>
            </c:strRef>
          </c:cat>
          <c:val>
            <c:numRef>
              <c:f>Sheet1!$B$2:$B$9</c:f>
              <c:numCache>
                <c:formatCode>0%</c:formatCode>
                <c:ptCount val="8"/>
                <c:pt idx="0">
                  <c:v>1</c:v>
                </c:pt>
                <c:pt idx="1">
                  <c:v>0</c:v>
                </c:pt>
                <c:pt idx="2">
                  <c:v>0</c:v>
                </c:pt>
                <c:pt idx="3">
                  <c:v>0</c:v>
                </c:pt>
                <c:pt idx="4">
                  <c:v>0</c:v>
                </c:pt>
                <c:pt idx="5">
                  <c:v>0</c:v>
                </c:pt>
                <c:pt idx="6">
                  <c:v>0</c:v>
                </c:pt>
                <c:pt idx="7">
                  <c:v>0</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96aa6e6d-3c52-424e-bbc6-19330e1c3bfa}"/>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t>支出决算结构图</a:t>
            </a:r>
          </a:p>
        </c:rich>
      </c:tx>
      <c:layout>
        <c:manualLayout>
          <c:xMode val="edge"/>
          <c:yMode val="edge"/>
          <c:x val="0.291885800150263"/>
          <c:y val="0.0543150271575135"/>
        </c:manualLayout>
      </c:layout>
      <c:overlay val="0"/>
      <c:spPr>
        <a:noFill/>
        <a:ln>
          <a:noFill/>
        </a:ln>
        <a:effectLst/>
      </c:spPr>
    </c:title>
    <c:autoTitleDeleted val="0"/>
    <c:plotArea>
      <c:layout/>
      <c:pieChart>
        <c:varyColors val="1"/>
        <c:ser>
          <c:idx val="0"/>
          <c:order val="0"/>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Pt>
            <c:idx val="3"/>
            <c:bubble3D val="0"/>
            <c:spPr>
              <a:solidFill>
                <a:schemeClr val="accent4"/>
              </a:solidFill>
              <a:ln>
                <a:solidFill>
                  <a:schemeClr val="bg1"/>
                </a:solidFill>
              </a:ln>
              <a:effectLst/>
            </c:spPr>
          </c:dPt>
          <c:dPt>
            <c:idx val="4"/>
            <c:bubble3D val="0"/>
            <c:spPr>
              <a:solidFill>
                <a:schemeClr val="accent5"/>
              </a:solidFill>
              <a:ln>
                <a:solidFill>
                  <a:schemeClr val="bg1"/>
                </a:solidFill>
              </a:ln>
              <a:effectLst/>
            </c:spPr>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inEnd"/>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[图表.xlsx]Sheet1!$A$24:$A$28</c:f>
              <c:strCache>
                <c:ptCount val="5"/>
                <c:pt idx="0">
                  <c:v>基本支出</c:v>
                </c:pt>
                <c:pt idx="1">
                  <c:v>项目支出</c:v>
                </c:pt>
                <c:pt idx="2">
                  <c:v>上缴上级支出</c:v>
                </c:pt>
                <c:pt idx="3">
                  <c:v>经营支出</c:v>
                </c:pt>
                <c:pt idx="4">
                  <c:v>对附属单位补助支出</c:v>
                </c:pt>
              </c:strCache>
            </c:strRef>
          </c:cat>
          <c:val>
            <c:numRef>
              <c:f>[图表.xlsx]Sheet1!$B$24:$B$28</c:f>
              <c:numCache>
                <c:formatCode>0.00%</c:formatCode>
                <c:ptCount val="5"/>
                <c:pt idx="0">
                  <c:v>0.462</c:v>
                </c:pt>
                <c:pt idx="1">
                  <c:v>0.538</c:v>
                </c:pt>
                <c:pt idx="2" c:formatCode="General">
                  <c:v>0</c:v>
                </c:pt>
                <c:pt idx="4" c:formatCode="General">
                  <c:v>0</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c5f54c4b-2161-4995-9b73-751107078b76}"/>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t>2024年度财政拨款收、支总计变化图（万元）</a:t>
            </a:r>
          </a:p>
        </c:rich>
      </c:tx>
      <c:layout/>
      <c:overlay val="0"/>
      <c:spPr>
        <a:noFill/>
        <a:ln>
          <a:noFill/>
        </a:ln>
        <a:effectLst/>
      </c:spPr>
    </c:title>
    <c:autoTitleDeleted val="0"/>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[图表.xlsx]Sheet1!$N$71:$N$72</c:f>
              <c:strCache>
                <c:ptCount val="2"/>
                <c:pt idx="0">
                  <c:v>2023年财政收支总计</c:v>
                </c:pt>
                <c:pt idx="1">
                  <c:v>2024年财政收支总计</c:v>
                </c:pt>
              </c:strCache>
            </c:strRef>
          </c:cat>
          <c:val>
            <c:numRef>
              <c:f>[图表.xlsx]Sheet1!$O$71:$O$72</c:f>
              <c:numCache>
                <c:formatCode>General</c:formatCode>
                <c:ptCount val="2"/>
                <c:pt idx="0">
                  <c:v>306.45</c:v>
                </c:pt>
                <c:pt idx="1">
                  <c:v>320.52</c:v>
                </c:pt>
              </c:numCache>
            </c:numRef>
          </c:val>
        </c:ser>
        <c:dLbls>
          <c:showLegendKey val="0"/>
          <c:showVal val="1"/>
          <c:showCatName val="0"/>
          <c:showSerName val="0"/>
          <c:showPercent val="0"/>
          <c:showBubbleSize val="0"/>
        </c:dLbls>
        <c:gapWidth val="246"/>
        <c:overlap val="-28"/>
        <c:axId val="570818900"/>
        <c:axId val="617479351"/>
      </c:barChart>
      <c:catAx>
        <c:axId val="570818900"/>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17479351"/>
        <c:crosses val="autoZero"/>
        <c:auto val="1"/>
        <c:lblAlgn val="ctr"/>
        <c:lblOffset val="100"/>
        <c:noMultiLvlLbl val="0"/>
      </c:catAx>
      <c:valAx>
        <c:axId val="617479351"/>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70818900"/>
        <c:crosses val="autoZero"/>
        <c:crossBetween val="between"/>
      </c:valAx>
      <c:spPr>
        <a:noFill/>
        <a:ln>
          <a:noFill/>
        </a:ln>
        <a:effectLst/>
      </c:spPr>
    </c:plotArea>
    <c:plotVisOnly val="1"/>
    <c:dispBlanksAs val="gap"/>
    <c:showDLblsOverMax val="0"/>
    <c:extLst>
      <c:ext uri="{0b15fc19-7d7d-44ad-8c2d-2c3a37ce22c3}">
        <chartProps xmlns="https://web.wps.cn/et/2018/main" chartId="{e2d456de-641a-4c72-88ef-d3ae9a430ad7}"/>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t>一般公共预算财政拨款支出变化图（万元）</a:t>
            </a:r>
          </a:p>
        </c:rich>
      </c:tx>
      <c:layout/>
      <c:overlay val="0"/>
      <c:spPr>
        <a:noFill/>
        <a:ln>
          <a:noFill/>
        </a:ln>
        <a:effectLst/>
      </c:spPr>
    </c:title>
    <c:autoTitleDeleted val="0"/>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[图表.xlsx]Sheet1!$A$100:$A$101</c:f>
              <c:strCache>
                <c:ptCount val="2"/>
                <c:pt idx="0">
                  <c:v>2023年一般公共预算财政拨款支出</c:v>
                </c:pt>
                <c:pt idx="1">
                  <c:v>2024年一般公共预算财政拨款支出</c:v>
                </c:pt>
              </c:strCache>
            </c:strRef>
          </c:cat>
          <c:val>
            <c:numRef>
              <c:f>[图表.xlsx]Sheet1!$B$100:$B$101</c:f>
              <c:numCache>
                <c:formatCode>General</c:formatCode>
                <c:ptCount val="2"/>
                <c:pt idx="0">
                  <c:v>306.45</c:v>
                </c:pt>
                <c:pt idx="1">
                  <c:v>320.52</c:v>
                </c:pt>
              </c:numCache>
            </c:numRef>
          </c:val>
        </c:ser>
        <c:dLbls>
          <c:showLegendKey val="0"/>
          <c:showVal val="1"/>
          <c:showCatName val="0"/>
          <c:showSerName val="0"/>
          <c:showPercent val="0"/>
          <c:showBubbleSize val="0"/>
        </c:dLbls>
        <c:gapWidth val="246"/>
        <c:overlap val="-28"/>
        <c:axId val="966488145"/>
        <c:axId val="603200119"/>
      </c:barChart>
      <c:catAx>
        <c:axId val="966488145"/>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03200119"/>
        <c:crosses val="autoZero"/>
        <c:auto val="1"/>
        <c:lblAlgn val="ctr"/>
        <c:lblOffset val="100"/>
        <c:noMultiLvlLbl val="0"/>
      </c:catAx>
      <c:valAx>
        <c:axId val="603200119"/>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966488145"/>
        <c:crosses val="autoZero"/>
        <c:crossBetween val="between"/>
      </c:valAx>
      <c:spPr>
        <a:noFill/>
        <a:ln>
          <a:noFill/>
        </a:ln>
        <a:effectLst/>
      </c:spPr>
    </c:plotArea>
    <c:plotVisOnly val="1"/>
    <c:dispBlanksAs val="gap"/>
    <c:showDLblsOverMax val="0"/>
    <c:extLst>
      <c:ext uri="{0b15fc19-7d7d-44ad-8c2d-2c3a37ce22c3}">
        <chartProps xmlns="https://web.wps.cn/et/2018/main" chartId="{c50778e9-fdf4-40a8-949f-54e93ded9705}"/>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一般公共预算财政拨款支出决算结构图</a:t>
            </a:r>
            <a:endParaRPr lang="en-US" altLang="zh-CN"/>
          </a:p>
        </c:rich>
      </c:tx>
      <c:layout>
        <c:manualLayout>
          <c:xMode val="edge"/>
          <c:yMode val="edge"/>
          <c:x val="0.1756962410592"/>
          <c:y val="0.0619469026548673"/>
        </c:manualLayout>
      </c:layout>
      <c:overlay val="0"/>
      <c:spPr>
        <a:noFill/>
        <a:ln>
          <a:noFill/>
        </a:ln>
        <a:effectLst/>
      </c:spPr>
    </c:title>
    <c:autoTitleDeleted val="0"/>
    <c:plotArea>
      <c:layout/>
      <c:pieChart>
        <c:varyColors val="1"/>
        <c:ser>
          <c:idx val="0"/>
          <c:order val="0"/>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[图表.xlsx]Sheet1!$R$1:$R$4</c:f>
              <c:strCache>
                <c:ptCount val="4"/>
                <c:pt idx="0">
                  <c:v>粮油物资储备支出</c:v>
                </c:pt>
                <c:pt idx="1">
                  <c:v>社会保障和就业支出</c:v>
                </c:pt>
                <c:pt idx="2">
                  <c:v>卫生健康支出</c:v>
                </c:pt>
                <c:pt idx="3">
                  <c:v>住房保障支出</c:v>
                </c:pt>
              </c:strCache>
            </c:strRef>
          </c:cat>
          <c:val>
            <c:numRef>
              <c:f>[图表.xlsx]Sheet1!$S$1:$S$4</c:f>
              <c:numCache>
                <c:formatCode>0.00%</c:formatCode>
                <c:ptCount val="4"/>
                <c:pt idx="0">
                  <c:v>0.8586</c:v>
                </c:pt>
                <c:pt idx="1">
                  <c:v>0.0918</c:v>
                </c:pt>
                <c:pt idx="2">
                  <c:v>0.0169</c:v>
                </c:pt>
                <c:pt idx="3">
                  <c:v>0.0327</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3a6dbc71-9836-46de-8915-57a84265dc49}"/>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rPr lang="en-US" altLang="zh-CN"/>
              <a:t>“</a:t>
            </a:r>
            <a:r>
              <a:rPr altLang="en-US"/>
              <a:t>三公</a:t>
            </a:r>
            <a:r>
              <a:rPr lang="en-US" altLang="zh-CN"/>
              <a:t>”</a:t>
            </a:r>
            <a:r>
              <a:rPr altLang="en-US"/>
              <a:t>经费支出结构图</a:t>
            </a:r>
            <a:endParaRPr lang="en-US" altLang="zh-CN"/>
          </a:p>
        </c:rich>
      </c:tx>
      <c:layout>
        <c:manualLayout>
          <c:xMode val="edge"/>
          <c:yMode val="edge"/>
          <c:x val="0.333552631578947"/>
          <c:y val="0.0277777777777778"/>
        </c:manualLayout>
      </c:layout>
      <c:overlay val="0"/>
      <c:spPr>
        <a:noFill/>
        <a:ln>
          <a:noFill/>
        </a:ln>
        <a:effectLst/>
      </c:spPr>
    </c:title>
    <c:autoTitleDeleted val="0"/>
    <c:plotArea>
      <c:layout/>
      <c:pieChart>
        <c:varyColors val="1"/>
        <c:ser>
          <c:idx val="0"/>
          <c:order val="0"/>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[图表.xlsx]Sheet1!$S$71:$S$73</c:f>
              <c:strCache>
                <c:ptCount val="3"/>
                <c:pt idx="0">
                  <c:v>因公出国（境）费支出</c:v>
                </c:pt>
                <c:pt idx="1">
                  <c:v>公务用车购置及运行维护费支出</c:v>
                </c:pt>
                <c:pt idx="2">
                  <c:v>公务接待费支出</c:v>
                </c:pt>
              </c:strCache>
            </c:strRef>
          </c:cat>
          <c:val>
            <c:numRef>
              <c:f>[图表.xlsx]Sheet1!$T$71:$T$73</c:f>
              <c:numCache>
                <c:formatCode>0.00%</c:formatCode>
                <c:ptCount val="3"/>
                <c:pt idx="0">
                  <c:v>0</c:v>
                </c:pt>
                <c:pt idx="1">
                  <c:v>0</c:v>
                </c:pt>
                <c:pt idx="2">
                  <c:v>1</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5ad99410-e918-4f65-941f-f0071a6358a9}"/>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33</Pages>
  <Words>11745</Words>
  <Characters>12583</Characters>
  <Lines>61</Lines>
  <Paragraphs>17</Paragraphs>
  <TotalTime>51</TotalTime>
  <ScaleCrop>false</ScaleCrop>
  <LinksUpToDate>false</LinksUpToDate>
  <CharactersWithSpaces>12659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2020-08-09T09:49:00Z</dcterms:created>
  <dc:creator>曹颖</dc:creator>
  <cp:lastModifiedBy>TEENIE</cp:lastModifiedBy>
  <cp:lastPrinted>2025-08-06T17:34:00Z</cp:lastPrinted>
  <dcterms:modified xsi:type="dcterms:W3CDTF">2025-09-24T03:09:07Z</dcterms:modified>
  <dc:title>四川省***</dc:title>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71E6BBD249D843E090CCC2928F86A0B0_13</vt:lpwstr>
  </property>
  <property fmtid="{D5CDD505-2E9C-101B-9397-08002B2CF9AE}" pid="4" name="KSOTemplateDocerSaveRecord">
    <vt:lpwstr>eyJoZGlkIjoiYzY5ZDRmOWQ0NTU1NWRlNTA4MDE0ZmFhNzkxMjJjZmIiLCJ1c2VySWQiOiIyNDIxMTA5MDkifQ==</vt:lpwstr>
  </property>
</Properties>
</file>